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E80E" w14:textId="41D43AB4" w:rsidR="00130E66" w:rsidRPr="00130E66" w:rsidRDefault="00130E66" w:rsidP="00130E66">
      <w:pPr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18. (1) Alkalomszerű tűzveszélyes tevékenységet a helyszín adottságainak ismeretében előzetesen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írásban meghatározott feltételek alapján szabad végezni. A feltételek megállapítása - az MKO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tűzvédelmi szakemberének közreműködésével - a munkavégzésre közvetlenül utasítást adó, a munkát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végző személyek tevékenységét közvetlenül irányító személy feladata, ha nincs ilyen személy, a munkát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végző kötelezettsége.</w:t>
      </w:r>
    </w:p>
    <w:p w14:paraId="73E90C4F" w14:textId="266AEC8A" w:rsidR="00130E66" w:rsidRPr="00130E66" w:rsidRDefault="00130E66" w:rsidP="00130E66">
      <w:pPr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(2) Az alkalomszerű tűzveszélyes tevékenység végzésének feltételeit a 3. számú melléklet szerinti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formában kell meghatározni. Ellenőrzés esetén a tevékenység feltételeit meghatározó iratokat be kell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mutatni.</w:t>
      </w:r>
    </w:p>
    <w:p w14:paraId="4E8A2351" w14:textId="77777777" w:rsidR="00130E66" w:rsidRPr="00130E66" w:rsidRDefault="00130E66" w:rsidP="00130E66">
      <w:pPr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(3) Az alkalomszerű tűzveszélyes tevékenység az alábbi tűzvédelmi előírások szerint végezhető:</w:t>
      </w:r>
    </w:p>
    <w:p w14:paraId="5F4EF1D3" w14:textId="4DEE22B5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a) A munkát tilos megkezdeni mindaddig, amíg a tűz-vagy robbanásveszélyt el nem hárították,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valamint a munkavégzés környezetében dolgozó személyeket is figyelmeztetni kell a tevékenység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végzése alatti fokozottabb óvatosságra.</w:t>
      </w:r>
    </w:p>
    <w:p w14:paraId="043E1390" w14:textId="44BD3F60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b) A tűzveszélyes munkavégzés 5 méteres környezetéből az éghető anyagokat el kell távolítani. Ha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ez nem lehetséges, akkor:</w:t>
      </w:r>
    </w:p>
    <w:p w14:paraId="652033B4" w14:textId="2D84DE62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i. hősugárzás ellen az éghető anyagot nem éghető, jó hőszigetelő anyaggal kell elhatárolni,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letakarni,</w:t>
      </w:r>
    </w:p>
    <w:p w14:paraId="202C5D4A" w14:textId="7D740459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ii. izzó anyagok szétszóródásakor gondoskodni kell az éghető anyagok megóvásáról (pl.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vizes ponyvával való letakarás, a veszélyeztetett környezet vízzel való fellocsolása, stb.)</w:t>
      </w:r>
    </w:p>
    <w:p w14:paraId="2D49D83F" w14:textId="1F0501B0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c) A hegesztőnek és egyéb más rendszeresen nyílt lánggal járó munkát végzőknek a tevékenység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végzéséhez tűzvédelmi szakvizsgával kell rendelkeznie. Egyéb tűzveszélyes tevékenységet a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tűzvédelmi szabályokra, előírásokra kioktatott személy végezhet.</w:t>
      </w:r>
    </w:p>
    <w:p w14:paraId="1570AA7E" w14:textId="387FE995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d) A hegesztéshez használt palackokat úgy kell elhelyezni, hogy az áramkör részévé ne válhassanak.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 xml:space="preserve">Fűtőtestektől, a hegesztés és </w:t>
      </w:r>
      <w:r w:rsidRPr="00130E66">
        <w:rPr>
          <w:rFonts w:cs="Times New Roman"/>
          <w:b w:val="0"/>
          <w:bCs/>
          <w:szCs w:val="24"/>
        </w:rPr>
        <w:t>lángvágás</w:t>
      </w:r>
      <w:r>
        <w:rPr>
          <w:rFonts w:cs="Times New Roman"/>
          <w:b w:val="0"/>
          <w:bCs/>
          <w:szCs w:val="24"/>
        </w:rPr>
        <w:t>,</w:t>
      </w:r>
      <w:r w:rsidRPr="00130E66">
        <w:rPr>
          <w:rFonts w:cs="Times New Roman"/>
          <w:b w:val="0"/>
          <w:bCs/>
          <w:szCs w:val="24"/>
        </w:rPr>
        <w:t xml:space="preserve"> stb. helyétől olyan távolságra kell elhelyezni, hogy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azok ne melegedhessenek fel.</w:t>
      </w:r>
    </w:p>
    <w:p w14:paraId="682F52C0" w14:textId="19458A45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e) Ha a tevékenység körzetében födémáttörés van, úgy a nyílásokat le kell fedni és az alsó –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esetlegesen felső – szintet át kell vizsgálni, hogy nincs-e tüzet okozható körülmény. A munka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befejezésekor a szinteket át kell vizsgálni.</w:t>
      </w:r>
    </w:p>
    <w:p w14:paraId="28A6536B" w14:textId="3EE8AF94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f) A tűzveszélyes tevékenység befejezése után a munkavégző a helyszínt és annak környezetét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tűzvédelmi szempontból köteles átvizsgálni és minden olyan körülményt megszüntetni, ami tüzet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okozhat (pl.: izzó parázs, felmelegedett anyag stb.).</w:t>
      </w:r>
    </w:p>
    <w:p w14:paraId="5CE02D07" w14:textId="68DD3D34" w:rsidR="00130E66" w:rsidRPr="00130E66" w:rsidRDefault="00130E66" w:rsidP="00130E66">
      <w:pPr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(4) Az Egyetem szabadterein történő sütés, főzés alkalomszerű tűzveszélyes tevékenységnek minősül,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amely az alábbi tűzvédelmi előírások szerint végezhető:</w:t>
      </w:r>
    </w:p>
    <w:p w14:paraId="1F2C418F" w14:textId="77777777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a) Gázpalackkal, gázzsámollyal történő sütés, főzés előírásai:</w:t>
      </w:r>
    </w:p>
    <w:p w14:paraId="6E72A125" w14:textId="3059A53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i. Nem szabad használni olyan gázpalackot, amelyeken égési nyomok, éles bemetszésű sérülések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 xml:space="preserve">vagy horpadások láthatóak. Nem szabad használni hibás vagy megrongálódott palackokat </w:t>
      </w:r>
      <w:r>
        <w:rPr>
          <w:rFonts w:cs="Times New Roman"/>
          <w:b w:val="0"/>
          <w:bCs/>
          <w:szCs w:val="24"/>
        </w:rPr>
        <w:t>–</w:t>
      </w:r>
      <w:r w:rsidRPr="00130E66">
        <w:rPr>
          <w:rFonts w:cs="Times New Roman"/>
          <w:b w:val="0"/>
          <w:bCs/>
          <w:szCs w:val="24"/>
        </w:rPr>
        <w:t xml:space="preserve"> ilyen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esetben a palackot egyértelműen meg kell jelölni, és a gázszolgáltató céggel haladéktalanul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egyeztetni kell a további lépéseket.</w:t>
      </w:r>
    </w:p>
    <w:p w14:paraId="28813DC7" w14:textId="50C5A0CE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lastRenderedPageBreak/>
        <w:t>ii. Gázpalackok felhasználása csak a gyártó, forgalmazó, üzembe helyező előírásainak megfelelően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történhet.</w:t>
      </w:r>
    </w:p>
    <w:p w14:paraId="012BC3D4" w14:textId="7777777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iii. A tele és üres palackokat lezárt szeleppel és szelepvédővel kell tárolni, valamint szállítani.</w:t>
      </w:r>
    </w:p>
    <w:p w14:paraId="4A6D71D4" w14:textId="2A442F4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iv. A palackot a káros mechanikai és kémiai hatásoktól védeni kell, hőmérséklete ne emelkedjen 50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°C fölé.</w:t>
      </w:r>
    </w:p>
    <w:p w14:paraId="6D84CC3E" w14:textId="064F2A56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v. A palackokat nem szabad zsíros vagy olajos kézzel, vagy ezekkel szennyezett ruhában kezelni,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illetve ilyen anyaggal tisztítani.</w:t>
      </w:r>
    </w:p>
    <w:p w14:paraId="7C406959" w14:textId="7EB63BEC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vi. A gáz elvétele a gázpalackból csak megfelelő nyomáscsökkentővel történhet. A nyomáscsökkentő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csatlakoztatásakor ügyelni kell a tömítések sértetlenségére.</w:t>
      </w:r>
    </w:p>
    <w:p w14:paraId="4E166D13" w14:textId="7777777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vii. A gázpalackokat tilos másik gázpalackból újratölteni és védeni kell a gáz visszaáramlásától.</w:t>
      </w:r>
    </w:p>
    <w:p w14:paraId="73D69B48" w14:textId="34BB2A5E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viii. A gázpalackon található jelzéseket (beütések, címkék) nem szabad megrongálni, megváltoztatni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vagy eltávolítani.</w:t>
      </w:r>
    </w:p>
    <w:p w14:paraId="01598AD0" w14:textId="5C96FDA9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ix. A palackok vagy palackköteg szelepét nem szabad gyors mozdulattal nyitni. A szelep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rendeltetésszerű működtetéséhez segédeszközt használni nem szabad.</w:t>
      </w:r>
    </w:p>
    <w:p w14:paraId="632F0C80" w14:textId="7777777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proofErr w:type="spellStart"/>
      <w:r w:rsidRPr="00130E66">
        <w:rPr>
          <w:rFonts w:cs="Times New Roman"/>
          <w:b w:val="0"/>
          <w:bCs/>
          <w:szCs w:val="24"/>
        </w:rPr>
        <w:t>x.</w:t>
      </w:r>
      <w:proofErr w:type="spellEnd"/>
      <w:r w:rsidRPr="00130E66">
        <w:rPr>
          <w:rFonts w:cs="Times New Roman"/>
          <w:b w:val="0"/>
          <w:bCs/>
          <w:szCs w:val="24"/>
        </w:rPr>
        <w:t xml:space="preserve"> A gázpalack csatlakozásának gáztömörnek kell lennie.</w:t>
      </w:r>
    </w:p>
    <w:p w14:paraId="4A0C1476" w14:textId="13D4CC7E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xi. Csak olyan felszerelést szabad használni, amely alkalmas az adott gáz kezelésére az előre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meghatározott nyomáson és hőmérsékleten.</w:t>
      </w:r>
    </w:p>
    <w:p w14:paraId="4C79CC08" w14:textId="77777777" w:rsidR="00130E66" w:rsidRPr="00130E66" w:rsidRDefault="00130E66" w:rsidP="00130E66">
      <w:pPr>
        <w:ind w:left="142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b) Szilárd fűtőanyaggal történő sütés, főzés előírásai:</w:t>
      </w:r>
    </w:p>
    <w:p w14:paraId="77952E96" w14:textId="7777777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i. A tűz meggyújtása előtt a tűzrakó hely környékét meg kell tisztítani az éghető anyagoktól.</w:t>
      </w:r>
    </w:p>
    <w:p w14:paraId="31292EF9" w14:textId="77777777" w:rsidR="00130E66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ii. Nem szabad felügyelet nélkül hagyni az égő tüzet, a még ki nem hűlt parazsat, hamut.</w:t>
      </w:r>
    </w:p>
    <w:p w14:paraId="7C24B3C8" w14:textId="09CA6E7B" w:rsidR="001D58B2" w:rsidRPr="00130E66" w:rsidRDefault="00130E66" w:rsidP="00130E66">
      <w:pPr>
        <w:ind w:left="426"/>
        <w:jc w:val="both"/>
        <w:rPr>
          <w:rFonts w:cs="Times New Roman"/>
          <w:b w:val="0"/>
          <w:bCs/>
          <w:szCs w:val="24"/>
        </w:rPr>
      </w:pPr>
      <w:r w:rsidRPr="00130E66">
        <w:rPr>
          <w:rFonts w:cs="Times New Roman"/>
          <w:b w:val="0"/>
          <w:bCs/>
          <w:szCs w:val="24"/>
        </w:rPr>
        <w:t>iii. A tüzelés befejezését követően a tüzet gondosan el kell oltani, meg kell győződni arról, hogy</w:t>
      </w:r>
      <w:r>
        <w:rPr>
          <w:rFonts w:cs="Times New Roman"/>
          <w:b w:val="0"/>
          <w:bCs/>
          <w:szCs w:val="24"/>
        </w:rPr>
        <w:t xml:space="preserve"> </w:t>
      </w:r>
      <w:r w:rsidRPr="00130E66">
        <w:rPr>
          <w:rFonts w:cs="Times New Roman"/>
          <w:b w:val="0"/>
          <w:bCs/>
          <w:szCs w:val="24"/>
        </w:rPr>
        <w:t>elaludt.</w:t>
      </w:r>
      <w:r w:rsidRPr="00130E66">
        <w:rPr>
          <w:rFonts w:cs="Times New Roman"/>
          <w:b w:val="0"/>
          <w:bCs/>
          <w:szCs w:val="24"/>
        </w:rPr>
        <w:cr/>
      </w:r>
    </w:p>
    <w:sectPr w:rsidR="001D58B2" w:rsidRPr="00130E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5000" w14:textId="77777777" w:rsidR="00486886" w:rsidRDefault="00486886" w:rsidP="00130E66">
      <w:pPr>
        <w:spacing w:after="0" w:line="240" w:lineRule="auto"/>
      </w:pPr>
      <w:r>
        <w:separator/>
      </w:r>
    </w:p>
  </w:endnote>
  <w:endnote w:type="continuationSeparator" w:id="0">
    <w:p w14:paraId="021C4A41" w14:textId="77777777" w:rsidR="00486886" w:rsidRDefault="00486886" w:rsidP="001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09A0" w14:textId="77777777" w:rsidR="00486886" w:rsidRDefault="00486886" w:rsidP="00130E66">
      <w:pPr>
        <w:spacing w:after="0" w:line="240" w:lineRule="auto"/>
      </w:pPr>
      <w:r>
        <w:separator/>
      </w:r>
    </w:p>
  </w:footnote>
  <w:footnote w:type="continuationSeparator" w:id="0">
    <w:p w14:paraId="7D1EB7E0" w14:textId="77777777" w:rsidR="00486886" w:rsidRDefault="00486886" w:rsidP="0013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202D" w14:textId="03577769" w:rsidR="00130E66" w:rsidRPr="00130E66" w:rsidRDefault="00130E66" w:rsidP="00130E66">
    <w:pPr>
      <w:pStyle w:val="lfej"/>
      <w:jc w:val="right"/>
      <w:rPr>
        <w:b w:val="0"/>
        <w:bCs/>
      </w:rPr>
    </w:pPr>
    <w:r w:rsidRPr="00130E66">
      <w:rPr>
        <w:b w:val="0"/>
        <w:bCs/>
      </w:rPr>
      <w:t>PTE Tűzvédelmi Szabályzat</w:t>
    </w:r>
  </w:p>
  <w:p w14:paraId="7E780D9D" w14:textId="482A4646" w:rsidR="00130E66" w:rsidRPr="00130E66" w:rsidRDefault="00130E66" w:rsidP="00130E66">
    <w:pPr>
      <w:pStyle w:val="lfej"/>
      <w:jc w:val="right"/>
      <w:rPr>
        <w:b w:val="0"/>
        <w:bCs/>
        <w:i/>
        <w:iCs/>
        <w:sz w:val="20"/>
        <w:szCs w:val="20"/>
      </w:rPr>
    </w:pPr>
    <w:r w:rsidRPr="00130E66">
      <w:rPr>
        <w:b w:val="0"/>
        <w:bCs/>
        <w:i/>
        <w:iCs/>
        <w:sz w:val="20"/>
        <w:szCs w:val="20"/>
      </w:rPr>
      <w:t>Hatályos: 2022. december 15.napjától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66"/>
    <w:rsid w:val="00130E66"/>
    <w:rsid w:val="001D58B2"/>
    <w:rsid w:val="00390682"/>
    <w:rsid w:val="00486886"/>
    <w:rsid w:val="00B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B641"/>
  <w15:chartTrackingRefBased/>
  <w15:docId w15:val="{CA5D315F-885E-42DD-8F6C-3767E2B6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0682"/>
    <w:rPr>
      <w:rFonts w:ascii="Times New Roman" w:hAnsi="Times New Roma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66"/>
    <w:rPr>
      <w:rFonts w:ascii="Times New Roman" w:hAnsi="Times New Roman"/>
      <w:b/>
      <w:sz w:val="24"/>
    </w:rPr>
  </w:style>
  <w:style w:type="paragraph" w:styleId="llb">
    <w:name w:val="footer"/>
    <w:basedOn w:val="Norml"/>
    <w:link w:val="llbChar"/>
    <w:uiPriority w:val="99"/>
    <w:unhideWhenUsed/>
    <w:rsid w:val="001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66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1B2D55711E52429A0D0B9A6D14CE00" ma:contentTypeVersion="13" ma:contentTypeDescription="Új dokumentum létrehozása." ma:contentTypeScope="" ma:versionID="abae5b92aac139eb29e10fcb4ac380cc">
  <xsd:schema xmlns:xsd="http://www.w3.org/2001/XMLSchema" xmlns:xs="http://www.w3.org/2001/XMLSchema" xmlns:p="http://schemas.microsoft.com/office/2006/metadata/properties" xmlns:ns2="bc96cba5-200c-4eeb-8224-3e2f4ce0ac1c" xmlns:ns3="fcfdece4-84ff-4b34-b30d-7a152d354934" xmlns:ns4="59196440-1343-4056-9328-912f7d250013" targetNamespace="http://schemas.microsoft.com/office/2006/metadata/properties" ma:root="true" ma:fieldsID="0be7a3c8fd05c57e26a2abd1a852a6e7" ns2:_="" ns3:_="" ns4:_="">
    <xsd:import namespace="bc96cba5-200c-4eeb-8224-3e2f4ce0ac1c"/>
    <xsd:import namespace="fcfdece4-84ff-4b34-b30d-7a152d354934"/>
    <xsd:import namespace="59196440-1343-4056-9328-912f7d250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6cba5-200c-4eeb-8224-3e2f4ce0a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dece4-84ff-4b34-b30d-7a152d3549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484767-76ce-4a60-bd09-86f8491f8e9b}" ma:internalName="TaxCatchAll" ma:showField="CatchAllData" ma:web="fcfdece4-84ff-4b34-b30d-7a152d35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list="UserInfo" ma:SearchPeopleOnly="false" ma:internalName="SharedWithUsers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96440-1343-4056-9328-912f7d250013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3AF6A-38CC-4010-B622-362DBC859B95}"/>
</file>

<file path=customXml/itemProps2.xml><?xml version="1.0" encoding="utf-8"?>
<ds:datastoreItem xmlns:ds="http://schemas.openxmlformats.org/officeDocument/2006/customXml" ds:itemID="{12B3F2B7-5856-4FEA-85FD-7C2A946D1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Csákó Judit</dc:creator>
  <cp:keywords/>
  <dc:description/>
  <cp:lastModifiedBy>Csákó Judit</cp:lastModifiedBy>
  <cp:revision>1</cp:revision>
  <dcterms:created xsi:type="dcterms:W3CDTF">2023-04-14T09:10:00Z</dcterms:created>
  <dcterms:modified xsi:type="dcterms:W3CDTF">2023-04-14T09:16:00Z</dcterms:modified>
</cp:coreProperties>
</file>