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D21AC" w14:textId="6EBC4269" w:rsidR="004840A5" w:rsidRPr="00186ED3" w:rsidRDefault="004840A5" w:rsidP="00070577">
      <w:pPr>
        <w:jc w:val="center"/>
        <w:rPr>
          <w:b/>
          <w:bCs/>
        </w:rPr>
      </w:pPr>
      <w:r w:rsidRPr="00186ED3">
        <w:rPr>
          <w:b/>
          <w:bCs/>
        </w:rPr>
        <w:t>Megszerezte az Orvosképzési Világszövetség</w:t>
      </w:r>
      <w:r w:rsidR="00F463A4">
        <w:rPr>
          <w:b/>
          <w:bCs/>
        </w:rPr>
        <w:t xml:space="preserve"> szempontrendszere szerinti</w:t>
      </w:r>
      <w:r w:rsidRPr="00186ED3">
        <w:rPr>
          <w:b/>
          <w:bCs/>
        </w:rPr>
        <w:t xml:space="preserve"> akkreditáció</w:t>
      </w:r>
      <w:r w:rsidR="00F463A4">
        <w:rPr>
          <w:b/>
          <w:bCs/>
        </w:rPr>
        <w:t xml:space="preserve">t </w:t>
      </w:r>
      <w:r w:rsidRPr="00186ED3">
        <w:rPr>
          <w:b/>
          <w:bCs/>
        </w:rPr>
        <w:t>a pécsi orvoskar</w:t>
      </w:r>
    </w:p>
    <w:p w14:paraId="08C16EB9" w14:textId="30BF0A70" w:rsidR="004840A5" w:rsidRDefault="004840A5" w:rsidP="00070577">
      <w:pPr>
        <w:jc w:val="left"/>
        <w:rPr>
          <w:b/>
          <w:bCs/>
        </w:rPr>
      </w:pPr>
      <w:r w:rsidRPr="00186ED3">
        <w:rPr>
          <w:b/>
          <w:bCs/>
        </w:rPr>
        <w:t xml:space="preserve">Megszerezte az Orvosképzési Világszövetség (WFME - World </w:t>
      </w:r>
      <w:proofErr w:type="spellStart"/>
      <w:r w:rsidRPr="00186ED3">
        <w:rPr>
          <w:b/>
          <w:bCs/>
        </w:rPr>
        <w:t>Federation</w:t>
      </w:r>
      <w:proofErr w:type="spellEnd"/>
      <w:r w:rsidRPr="00186ED3">
        <w:rPr>
          <w:b/>
          <w:bCs/>
        </w:rPr>
        <w:t xml:space="preserve"> </w:t>
      </w:r>
      <w:proofErr w:type="spellStart"/>
      <w:r w:rsidRPr="00186ED3">
        <w:rPr>
          <w:b/>
          <w:bCs/>
        </w:rPr>
        <w:t>for</w:t>
      </w:r>
      <w:proofErr w:type="spellEnd"/>
      <w:r w:rsidRPr="00186ED3">
        <w:rPr>
          <w:b/>
          <w:bCs/>
        </w:rPr>
        <w:t xml:space="preserve"> </w:t>
      </w:r>
      <w:proofErr w:type="spellStart"/>
      <w:r w:rsidRPr="00186ED3">
        <w:rPr>
          <w:b/>
          <w:bCs/>
        </w:rPr>
        <w:t>Medical</w:t>
      </w:r>
      <w:proofErr w:type="spellEnd"/>
      <w:r w:rsidRPr="00186ED3">
        <w:rPr>
          <w:b/>
          <w:bCs/>
        </w:rPr>
        <w:t xml:space="preserve"> Education) szempontrendszere szerinti akkreditációt a P</w:t>
      </w:r>
      <w:r>
        <w:rPr>
          <w:b/>
          <w:bCs/>
        </w:rPr>
        <w:t>écsi Tudományegyetem</w:t>
      </w:r>
      <w:r w:rsidRPr="00186ED3">
        <w:rPr>
          <w:b/>
          <w:bCs/>
        </w:rPr>
        <w:t xml:space="preserve"> Általános Orvostudományi Kara</w:t>
      </w:r>
      <w:r w:rsidR="000D6C51">
        <w:rPr>
          <w:b/>
          <w:bCs/>
        </w:rPr>
        <w:t xml:space="preserve">, ezzel </w:t>
      </w:r>
      <w:r w:rsidRPr="00186ED3">
        <w:rPr>
          <w:b/>
          <w:bCs/>
        </w:rPr>
        <w:t>tovább erősödött a PTE ÁOK diplomájának nemzetközi értéke.</w:t>
      </w:r>
    </w:p>
    <w:p w14:paraId="7FC15B43" w14:textId="77777777" w:rsidR="004840A5" w:rsidRPr="009F5043" w:rsidRDefault="004840A5" w:rsidP="00070577">
      <w:pPr>
        <w:jc w:val="left"/>
      </w:pPr>
      <w:r w:rsidRPr="009F5043">
        <w:t>Ahogy az a WFME honlapján olvasható</w:t>
      </w:r>
      <w:r>
        <w:t xml:space="preserve"> (</w:t>
      </w:r>
      <w:hyperlink r:id="rId8" w:history="1">
        <w:r w:rsidRPr="006E3678">
          <w:rPr>
            <w:rStyle w:val="Hiperhivatkozs"/>
          </w:rPr>
          <w:t>https://wfme.org/accreditation/ecfmg-2023/</w:t>
        </w:r>
      </w:hyperlink>
      <w:r>
        <w:t>)</w:t>
      </w:r>
      <w:r w:rsidRPr="009F5043">
        <w:t xml:space="preserve">, az </w:t>
      </w:r>
      <w:proofErr w:type="spellStart"/>
      <w:r w:rsidRPr="009F5043">
        <w:t>Educational</w:t>
      </w:r>
      <w:proofErr w:type="spellEnd"/>
      <w:r w:rsidRPr="009F5043">
        <w:t xml:space="preserve"> </w:t>
      </w:r>
      <w:proofErr w:type="spellStart"/>
      <w:r w:rsidRPr="009F5043">
        <w:t>Commission</w:t>
      </w:r>
      <w:proofErr w:type="spellEnd"/>
      <w:r w:rsidRPr="009F5043">
        <w:t xml:space="preserve"> </w:t>
      </w:r>
      <w:proofErr w:type="spellStart"/>
      <w:r w:rsidRPr="009F5043">
        <w:t>for</w:t>
      </w:r>
      <w:proofErr w:type="spellEnd"/>
      <w:r w:rsidRPr="009F5043">
        <w:t xml:space="preserve"> </w:t>
      </w:r>
      <w:proofErr w:type="spellStart"/>
      <w:r w:rsidRPr="009F5043">
        <w:t>Foreign</w:t>
      </w:r>
      <w:proofErr w:type="spellEnd"/>
      <w:r w:rsidRPr="009F5043">
        <w:t xml:space="preserve"> </w:t>
      </w:r>
      <w:proofErr w:type="spellStart"/>
      <w:r w:rsidRPr="009F5043">
        <w:t>Medical</w:t>
      </w:r>
      <w:proofErr w:type="spellEnd"/>
      <w:r w:rsidRPr="009F5043">
        <w:t xml:space="preserve"> </w:t>
      </w:r>
      <w:proofErr w:type="spellStart"/>
      <w:r w:rsidRPr="009F5043">
        <w:t>Graduates</w:t>
      </w:r>
      <w:proofErr w:type="spellEnd"/>
      <w:r w:rsidRPr="009F5043">
        <w:t xml:space="preserve"> (ECFMG) döntése szerint </w:t>
      </w:r>
      <w:r w:rsidRPr="00070577">
        <w:rPr>
          <w:b/>
          <w:bCs/>
        </w:rPr>
        <w:t>2024-től csak olyan külföldi intézményben szerzett diplomát lehet honosítani az Amerikai Egyesült Államokban, mely eleget tett a szervezet által elfogadott akkreditációs folyamat kritériumainak.</w:t>
      </w:r>
    </w:p>
    <w:p w14:paraId="37D7120D" w14:textId="51F60A56" w:rsidR="004840A5" w:rsidRDefault="004840A5" w:rsidP="00070577">
      <w:pPr>
        <w:jc w:val="left"/>
      </w:pPr>
      <w:r w:rsidRPr="009F5043">
        <w:t>Annak érdekében, hogy magyar orvosképzők is</w:t>
      </w:r>
      <w:r>
        <w:t xml:space="preserve"> megfeleljenek ennek,</w:t>
      </w:r>
      <w:r w:rsidRPr="00070577">
        <w:rPr>
          <w:b/>
          <w:bCs/>
        </w:rPr>
        <w:t xml:space="preserve"> a Magyar Felsőoktatási Akkreditációs Bizottság</w:t>
      </w:r>
      <w:r w:rsidRPr="009F5043">
        <w:t xml:space="preserve"> a hazai orvosképzés nemzetközi versenyképességének és elismertségének erősítése érdekében </w:t>
      </w:r>
      <w:r w:rsidRPr="00070577">
        <w:rPr>
          <w:b/>
          <w:bCs/>
        </w:rPr>
        <w:t xml:space="preserve">vállalta, hogy megszerzi a World </w:t>
      </w:r>
      <w:proofErr w:type="spellStart"/>
      <w:r w:rsidRPr="00070577">
        <w:rPr>
          <w:b/>
          <w:bCs/>
        </w:rPr>
        <w:t>Federation</w:t>
      </w:r>
      <w:proofErr w:type="spellEnd"/>
      <w:r w:rsidRPr="00070577">
        <w:rPr>
          <w:b/>
          <w:bCs/>
        </w:rPr>
        <w:t xml:space="preserve"> </w:t>
      </w:r>
      <w:proofErr w:type="spellStart"/>
      <w:r w:rsidRPr="00070577">
        <w:rPr>
          <w:b/>
          <w:bCs/>
        </w:rPr>
        <w:t>For</w:t>
      </w:r>
      <w:proofErr w:type="spellEnd"/>
      <w:r w:rsidRPr="00070577">
        <w:rPr>
          <w:b/>
          <w:bCs/>
        </w:rPr>
        <w:t xml:space="preserve"> </w:t>
      </w:r>
      <w:proofErr w:type="spellStart"/>
      <w:r w:rsidRPr="00070577">
        <w:rPr>
          <w:b/>
          <w:bCs/>
        </w:rPr>
        <w:t>Medical</w:t>
      </w:r>
      <w:proofErr w:type="spellEnd"/>
      <w:r w:rsidRPr="00070577">
        <w:rPr>
          <w:b/>
          <w:bCs/>
        </w:rPr>
        <w:t xml:space="preserve"> Education licencét</w:t>
      </w:r>
      <w:r>
        <w:t>. Ennek</w:t>
      </w:r>
      <w:r w:rsidRPr="009F5043">
        <w:t xml:space="preserve"> birtokában a MAB</w:t>
      </w:r>
      <w:r>
        <w:t xml:space="preserve"> </w:t>
      </w:r>
      <w:r w:rsidR="000D6C51">
        <w:t>végzi</w:t>
      </w:r>
      <w:r w:rsidRPr="009F5043">
        <w:t xml:space="preserve"> a hazai orvosképző intézmények WFME sztenderdjeinek megfelelő értékelését, és jogosult</w:t>
      </w:r>
      <w:r>
        <w:t>tá válik</w:t>
      </w:r>
      <w:r w:rsidRPr="009F5043">
        <w:t xml:space="preserve"> WFME</w:t>
      </w:r>
      <w:r>
        <w:t>-</w:t>
      </w:r>
      <w:r w:rsidRPr="009F5043">
        <w:t>akkreditációt adni.</w:t>
      </w:r>
      <w:r>
        <w:t xml:space="preserve"> </w:t>
      </w:r>
    </w:p>
    <w:p w14:paraId="50DC482D" w14:textId="77777777" w:rsidR="004840A5" w:rsidRPr="00244CFC" w:rsidRDefault="004840A5" w:rsidP="00070577">
      <w:pPr>
        <w:jc w:val="left"/>
        <w:rPr>
          <w:b/>
          <w:bCs/>
        </w:rPr>
      </w:pPr>
      <w:r w:rsidRPr="00244CFC">
        <w:rPr>
          <w:b/>
          <w:bCs/>
        </w:rPr>
        <w:t>A pécsi orvosképzés komplex vizsgálata</w:t>
      </w:r>
    </w:p>
    <w:p w14:paraId="2DC9BCD1" w14:textId="01C039FD" w:rsidR="004840A5" w:rsidRDefault="004840A5" w:rsidP="00070577">
      <w:pPr>
        <w:jc w:val="left"/>
      </w:pPr>
      <w:r>
        <w:t xml:space="preserve">A </w:t>
      </w:r>
      <w:r w:rsidRPr="009F5043">
        <w:t>Magyar Felsőoktatási Akkreditációs Bizottsá</w:t>
      </w:r>
      <w:r>
        <w:t>g Látogató Bizottsága (MAB LB</w:t>
      </w:r>
      <w:r w:rsidRPr="00070577">
        <w:rPr>
          <w:b/>
          <w:bCs/>
        </w:rPr>
        <w:t>) 2021</w:t>
      </w:r>
      <w:r w:rsidR="000F702F">
        <w:rPr>
          <w:b/>
          <w:bCs/>
        </w:rPr>
        <w:t>.</w:t>
      </w:r>
      <w:r w:rsidRPr="00070577">
        <w:rPr>
          <w:b/>
          <w:bCs/>
        </w:rPr>
        <w:t xml:space="preserve"> szeptemberében felkereste a PTE Általános Orvostudományi Karát </w:t>
      </w:r>
      <w:r>
        <w:t>(</w:t>
      </w:r>
      <w:hyperlink r:id="rId9" w:history="1">
        <w:r w:rsidRPr="006E3678">
          <w:rPr>
            <w:rStyle w:val="Hiperhivatkozs"/>
          </w:rPr>
          <w:t>https://aok.pte.hu/hu/hirek/hir/14325</w:t>
        </w:r>
      </w:hyperlink>
      <w:r>
        <w:t>) és lefolytatta</w:t>
      </w:r>
      <w:r w:rsidRPr="009F5043">
        <w:t xml:space="preserve"> az akkreditáció megszerzéséhez szükséges pilot eljárást</w:t>
      </w:r>
      <w:r>
        <w:t xml:space="preserve">. </w:t>
      </w:r>
    </w:p>
    <w:p w14:paraId="2F5D68EE" w14:textId="3539169F" w:rsidR="004840A5" w:rsidRDefault="004840A5" w:rsidP="00070577">
      <w:pPr>
        <w:jc w:val="left"/>
      </w:pPr>
      <w:r>
        <w:t>A jelentés</w:t>
      </w:r>
      <w:r w:rsidR="000D6C51">
        <w:t xml:space="preserve"> meghatározott szempontrendszer alapján</w:t>
      </w:r>
      <w:r>
        <w:t xml:space="preserve"> </w:t>
      </w:r>
      <w:r w:rsidRPr="00070577">
        <w:rPr>
          <w:b/>
          <w:bCs/>
        </w:rPr>
        <w:t>vizsgálta a pécsi orvoskart</w:t>
      </w:r>
      <w:r>
        <w:t xml:space="preserve">, kitérve többek között </w:t>
      </w:r>
      <w:r w:rsidRPr="00070577">
        <w:rPr>
          <w:b/>
          <w:bCs/>
        </w:rPr>
        <w:t>a képzési programokra, a hallgatói támogatás rendszerére, az oktatói teljesítményre, az oktatók képzésére, fejlesztésére</w:t>
      </w:r>
      <w:r>
        <w:t xml:space="preserve">, de vizsgálták az </w:t>
      </w:r>
      <w:r w:rsidRPr="00070577">
        <w:rPr>
          <w:b/>
          <w:bCs/>
        </w:rPr>
        <w:t>oktatási infrastruktúrát, a klinikai képzés feltételeit</w:t>
      </w:r>
      <w:r>
        <w:t xml:space="preserve"> is, valamint a </w:t>
      </w:r>
      <w:r w:rsidRPr="00070577">
        <w:rPr>
          <w:b/>
          <w:bCs/>
        </w:rPr>
        <w:t>minőségbiztosítás</w:t>
      </w:r>
      <w:r>
        <w:t xml:space="preserve"> is górcső alá került. </w:t>
      </w:r>
    </w:p>
    <w:p w14:paraId="5CED6C08" w14:textId="77777777" w:rsidR="00070577" w:rsidRDefault="004840A5" w:rsidP="00070577">
      <w:pPr>
        <w:jc w:val="left"/>
      </w:pPr>
      <w:r>
        <w:t xml:space="preserve">Kiemelték </w:t>
      </w:r>
      <w:r w:rsidRPr="00070577">
        <w:rPr>
          <w:b/>
          <w:bCs/>
        </w:rPr>
        <w:t xml:space="preserve">a pécsi orvosképző összetett stratégiai tervét, a Tanulási kultúra koncepció, a </w:t>
      </w:r>
      <w:proofErr w:type="spellStart"/>
      <w:r w:rsidRPr="00070577">
        <w:rPr>
          <w:b/>
          <w:bCs/>
        </w:rPr>
        <w:t>Well</w:t>
      </w:r>
      <w:proofErr w:type="spellEnd"/>
      <w:r w:rsidRPr="00070577">
        <w:rPr>
          <w:b/>
          <w:bCs/>
        </w:rPr>
        <w:t xml:space="preserve"> </w:t>
      </w:r>
      <w:proofErr w:type="spellStart"/>
      <w:r w:rsidRPr="00070577">
        <w:rPr>
          <w:b/>
          <w:bCs/>
        </w:rPr>
        <w:t>Being</w:t>
      </w:r>
      <w:proofErr w:type="spellEnd"/>
      <w:r w:rsidRPr="00070577">
        <w:rPr>
          <w:b/>
          <w:bCs/>
        </w:rPr>
        <w:t xml:space="preserve"> koncepció, az Épített környezet koncepció, valamint a Tudomány és innováció koncepció </w:t>
      </w:r>
      <w:proofErr w:type="spellStart"/>
      <w:r w:rsidRPr="00070577">
        <w:rPr>
          <w:b/>
          <w:bCs/>
        </w:rPr>
        <w:t>pillérein</w:t>
      </w:r>
      <w:proofErr w:type="spellEnd"/>
      <w:r w:rsidRPr="00070577">
        <w:rPr>
          <w:b/>
          <w:bCs/>
        </w:rPr>
        <w:t xml:space="preserve"> nyugvó </w:t>
      </w:r>
      <w:proofErr w:type="spellStart"/>
      <w:r w:rsidRPr="00070577">
        <w:rPr>
          <w:b/>
          <w:bCs/>
        </w:rPr>
        <w:t>PotePillarst</w:t>
      </w:r>
      <w:proofErr w:type="spellEnd"/>
      <w:r>
        <w:t xml:space="preserve"> is. Az elsőként elkészült Tanulási kultúra koncepció kapcsán megállapították, hogy az nem csupán oktatási módszerekre fókuszál: komplex módon kapcsol össze területeket, hangsúlyt fektet a szervezeti kultúra fejlesztésére, az elköteleződés elősegítésére, motivációs rendszerek építésére, oktatási és pedagógiai módszerek fejlesztésre. </w:t>
      </w:r>
    </w:p>
    <w:p w14:paraId="2D8F457C" w14:textId="633FF4FF" w:rsidR="004840A5" w:rsidRDefault="004840A5" w:rsidP="00070577">
      <w:pPr>
        <w:jc w:val="left"/>
      </w:pPr>
      <w:r>
        <w:t xml:space="preserve">Elismerően szóltak </w:t>
      </w:r>
      <w:r w:rsidRPr="00070577">
        <w:rPr>
          <w:b/>
          <w:bCs/>
        </w:rPr>
        <w:t xml:space="preserve">a pécsi orvoskar fejlesztéseként létrejött </w:t>
      </w:r>
      <w:proofErr w:type="spellStart"/>
      <w:r w:rsidRPr="00070577">
        <w:rPr>
          <w:b/>
          <w:bCs/>
        </w:rPr>
        <w:t>PotePediáról</w:t>
      </w:r>
      <w:proofErr w:type="spellEnd"/>
      <w:r w:rsidR="00070577">
        <w:rPr>
          <w:b/>
          <w:bCs/>
        </w:rPr>
        <w:t xml:space="preserve"> </w:t>
      </w:r>
      <w:r w:rsidR="00070577" w:rsidRPr="00070577">
        <w:t>(</w:t>
      </w:r>
      <w:hyperlink r:id="rId10" w:history="1">
        <w:r w:rsidR="00070577" w:rsidRPr="00070577">
          <w:rPr>
            <w:rStyle w:val="Hiperhivatkozs"/>
          </w:rPr>
          <w:t>https://potepedia.aok.pte.hu/</w:t>
        </w:r>
      </w:hyperlink>
      <w:r w:rsidR="00070577" w:rsidRPr="00070577">
        <w:t>)</w:t>
      </w:r>
      <w:r w:rsidRPr="00070577">
        <w:t>,</w:t>
      </w:r>
      <w:r>
        <w:t xml:space="preserve"> mely egy többnyelvű tananyagrendszer, digitális orvoskari </w:t>
      </w:r>
      <w:r>
        <w:lastRenderedPageBreak/>
        <w:t>tudásbázis, megjegyezve azt is, hogy a rendszer támogatja a pedagógiai módszerek kiteljesülését.</w:t>
      </w:r>
    </w:p>
    <w:p w14:paraId="6C696369" w14:textId="17926200" w:rsidR="004840A5" w:rsidRDefault="004840A5" w:rsidP="00070577">
      <w:pPr>
        <w:jc w:val="left"/>
      </w:pPr>
      <w:r>
        <w:t xml:space="preserve">A </w:t>
      </w:r>
      <w:r w:rsidR="000D6C51">
        <w:t xml:space="preserve">MAB Látogató Bizottság </w:t>
      </w:r>
      <w:r>
        <w:t xml:space="preserve">megállapította azt is, hogy </w:t>
      </w:r>
      <w:r w:rsidRPr="00070577">
        <w:rPr>
          <w:b/>
          <w:bCs/>
        </w:rPr>
        <w:t>a kar vezetése elkötelezett a magas színvonalú oktatás, kutatás és betegellátást szolgáló tevékenység, valamint a kiválóságra való törekvés és a humánerőforrás megbecsülése, fejlesztése mellett</w:t>
      </w:r>
      <w:r>
        <w:t>.</w:t>
      </w:r>
    </w:p>
    <w:p w14:paraId="2217AA48" w14:textId="77777777" w:rsidR="004840A5" w:rsidRPr="00244CFC" w:rsidRDefault="004840A5" w:rsidP="00070577">
      <w:pPr>
        <w:jc w:val="left"/>
        <w:rPr>
          <w:b/>
          <w:bCs/>
        </w:rPr>
      </w:pPr>
      <w:r w:rsidRPr="00244CFC">
        <w:rPr>
          <w:b/>
          <w:bCs/>
        </w:rPr>
        <w:t>WFME-licenc a pécsi orvoskarnak 2030-ig</w:t>
      </w:r>
    </w:p>
    <w:p w14:paraId="00EC5ECE" w14:textId="77777777" w:rsidR="004840A5" w:rsidRDefault="004840A5" w:rsidP="00070577">
      <w:pPr>
        <w:jc w:val="left"/>
      </w:pPr>
      <w:r>
        <w:t xml:space="preserve">A MAB LB a kari önértékelés, valamint a helyszíni látogatás alapján úgy határozott, hogy </w:t>
      </w:r>
      <w:r w:rsidRPr="00070577">
        <w:rPr>
          <w:b/>
          <w:bCs/>
        </w:rPr>
        <w:t>a PTE Általános Orvostudományi Karának általános orvosképzése</w:t>
      </w:r>
      <w:r>
        <w:t xml:space="preserve"> a WFME 2020 sztenderdek alapján </w:t>
      </w:r>
      <w:r w:rsidRPr="00070577">
        <w:rPr>
          <w:b/>
          <w:bCs/>
        </w:rPr>
        <w:t>8 éves akkreditációban részesíthető</w:t>
      </w:r>
      <w:r>
        <w:t xml:space="preserve">, melynek </w:t>
      </w:r>
      <w:proofErr w:type="spellStart"/>
      <w:r>
        <w:t>félidejében</w:t>
      </w:r>
      <w:proofErr w:type="spellEnd"/>
      <w:r>
        <w:t xml:space="preserve"> személyes látogatással egybekötött monitoreljárást tartanak. Az indoklás szerint a PTE ÁOK </w:t>
      </w:r>
    </w:p>
    <w:p w14:paraId="06FDC5BA" w14:textId="77777777" w:rsidR="004840A5" w:rsidRPr="00070577" w:rsidRDefault="004840A5" w:rsidP="00070577">
      <w:pPr>
        <w:pStyle w:val="Listaszerbekezds"/>
        <w:numPr>
          <w:ilvl w:val="0"/>
          <w:numId w:val="23"/>
        </w:numPr>
        <w:spacing w:after="160" w:line="259" w:lineRule="auto"/>
        <w:rPr>
          <w:rFonts w:ascii="Poppins Light" w:hAnsi="Poppins Light" w:cs="Poppins Light"/>
        </w:rPr>
      </w:pPr>
      <w:r w:rsidRPr="00070577">
        <w:rPr>
          <w:rFonts w:ascii="Poppins Light" w:hAnsi="Poppins Light" w:cs="Poppins Light"/>
        </w:rPr>
        <w:t>a minimumfeltételekben (képzési program, az oktatók kiválasztása, hallgatók felvétele, oktatási infrastruktúra, klinikai képzés feltételei, az intézményi szervezeti rendszere, a működést, oktatási és tudományos tevékenységet támogató szervezeti rendszer) megfelelt,</w:t>
      </w:r>
    </w:p>
    <w:p w14:paraId="50972F96" w14:textId="77777777" w:rsidR="004840A5" w:rsidRPr="00070577" w:rsidRDefault="004840A5" w:rsidP="00070577">
      <w:pPr>
        <w:pStyle w:val="Listaszerbekezds"/>
        <w:numPr>
          <w:ilvl w:val="0"/>
          <w:numId w:val="23"/>
        </w:numPr>
        <w:spacing w:after="160" w:line="259" w:lineRule="auto"/>
        <w:rPr>
          <w:rFonts w:ascii="Poppins Light" w:hAnsi="Poppins Light" w:cs="Poppins Light"/>
        </w:rPr>
      </w:pPr>
      <w:r w:rsidRPr="00070577">
        <w:rPr>
          <w:rFonts w:ascii="Poppins Light" w:hAnsi="Poppins Light" w:cs="Poppins Light"/>
        </w:rPr>
        <w:t>a minőségbiztosítási folyamatokban (küldetésnyilatkozat, képzési program kialakítása és felülvizsgálata, az értékelés minőségbiztosítási folyamata) részlegesen megfelelt,</w:t>
      </w:r>
    </w:p>
    <w:p w14:paraId="5309699E" w14:textId="77777777" w:rsidR="004840A5" w:rsidRPr="00070577" w:rsidRDefault="004840A5" w:rsidP="00070577">
      <w:pPr>
        <w:pStyle w:val="Listaszerbekezds"/>
        <w:numPr>
          <w:ilvl w:val="0"/>
          <w:numId w:val="23"/>
        </w:numPr>
        <w:spacing w:after="160" w:line="259" w:lineRule="auto"/>
        <w:rPr>
          <w:rFonts w:ascii="Poppins Light" w:hAnsi="Poppins Light" w:cs="Poppins Light"/>
        </w:rPr>
      </w:pPr>
      <w:r w:rsidRPr="00070577">
        <w:rPr>
          <w:rFonts w:ascii="Poppins Light" w:hAnsi="Poppins Light" w:cs="Poppins Light"/>
        </w:rPr>
        <w:t>a támogató folyamatokban (a képzés során alkalmazott oktatási módszerek, az értékelés rendszere, a hallgatói támogatási rendszer, az oktatói teljesítmény, az oktatók képzése és fejlesztése) megfelelt.</w:t>
      </w:r>
    </w:p>
    <w:p w14:paraId="2B25A592" w14:textId="4DB62766" w:rsidR="004840A5" w:rsidRDefault="004840A5" w:rsidP="00070577">
      <w:pPr>
        <w:jc w:val="left"/>
      </w:pPr>
      <w:r>
        <w:t xml:space="preserve">A Magyar Akkreditációs Bizottság július eleji tájékoztatása szerint a támogató döntés a MAB WFME akkreditációjának megszerzésének napján, 2022. március 8-án lépett hatályba. Ennek értelmében </w:t>
      </w:r>
      <w:r w:rsidRPr="00070577">
        <w:rPr>
          <w:b/>
          <w:bCs/>
        </w:rPr>
        <w:t xml:space="preserve">a PTE ÁOK általános orvosképzésének WFME akkreditációjának hatálya </w:t>
      </w:r>
      <w:r w:rsidR="00070577">
        <w:rPr>
          <w:b/>
          <w:bCs/>
        </w:rPr>
        <w:t xml:space="preserve">idén tavasztól egészen </w:t>
      </w:r>
      <w:r w:rsidRPr="00070577">
        <w:rPr>
          <w:b/>
          <w:bCs/>
        </w:rPr>
        <w:t>2030. március 3-ig áll fenn</w:t>
      </w:r>
      <w:r>
        <w:t>. Azaz aki a pécsi orvoskart választja alma materének, az általános orvos diploma sikeres megszerzését követően a jövőben is építhet karriert az itt megszerzett ismeretanyaggal és oklevéllel a tengerentúlon.</w:t>
      </w:r>
    </w:p>
    <w:p w14:paraId="5E4D9D57" w14:textId="77777777" w:rsidR="004840A5" w:rsidRDefault="004840A5" w:rsidP="00070577">
      <w:pPr>
        <w:jc w:val="left"/>
      </w:pPr>
    </w:p>
    <w:p w14:paraId="629A017F" w14:textId="77777777" w:rsidR="004840A5" w:rsidRDefault="004840A5" w:rsidP="00070577">
      <w:pPr>
        <w:jc w:val="left"/>
      </w:pPr>
    </w:p>
    <w:p w14:paraId="49385EBF" w14:textId="77777777" w:rsidR="004840A5" w:rsidRDefault="004840A5" w:rsidP="00070577">
      <w:pPr>
        <w:jc w:val="left"/>
      </w:pPr>
    </w:p>
    <w:p w14:paraId="0606D56E" w14:textId="775DCFDC" w:rsidR="00316594" w:rsidRPr="00C2461D" w:rsidRDefault="00316594" w:rsidP="00070577">
      <w:pPr>
        <w:spacing w:line="240" w:lineRule="auto"/>
        <w:jc w:val="left"/>
        <w:rPr>
          <w:rFonts w:cs="Poppins Light"/>
          <w:i/>
          <w:iCs/>
          <w:sz w:val="18"/>
          <w:szCs w:val="18"/>
          <w:u w:val="single"/>
        </w:rPr>
      </w:pPr>
    </w:p>
    <w:sectPr w:rsidR="00316594" w:rsidRPr="00C2461D" w:rsidSect="00010D0F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55" w:right="794" w:bottom="2155" w:left="794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E98F6" w14:textId="77777777" w:rsidR="00360F6F" w:rsidRDefault="00360F6F" w:rsidP="00A2314E">
      <w:pPr>
        <w:spacing w:after="0" w:line="240" w:lineRule="auto"/>
      </w:pPr>
      <w:r>
        <w:separator/>
      </w:r>
    </w:p>
  </w:endnote>
  <w:endnote w:type="continuationSeparator" w:id="0">
    <w:p w14:paraId="16B66F6C" w14:textId="77777777" w:rsidR="00360F6F" w:rsidRDefault="00360F6F" w:rsidP="00A2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 Light">
    <w:altName w:val="Poppins Light"/>
    <w:charset w:val="EE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 CE">
    <w:altName w:val="Calibri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Plane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C92D91" w14:paraId="412B7F6E" w14:textId="77777777" w:rsidTr="00757736">
      <w:trPr>
        <w:trHeight w:val="397"/>
      </w:trPr>
      <w:tc>
        <w:tcPr>
          <w:tcW w:w="1106" w:type="dxa"/>
          <w:vMerge w:val="restart"/>
          <w:vAlign w:val="center"/>
        </w:tcPr>
        <w:p w14:paraId="688DE550" w14:textId="77777777" w:rsidR="00C92D91" w:rsidRPr="005D4F3C" w:rsidRDefault="00C92D91" w:rsidP="00C92D91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2E193E25" wp14:editId="1971EFC7">
                <wp:extent cx="466725" cy="504825"/>
                <wp:effectExtent l="0" t="0" r="952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26A31A69" w14:textId="77777777" w:rsidR="00C92D91" w:rsidRPr="005D4F3C" w:rsidRDefault="00C92D91" w:rsidP="00C92D91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A38FAA5" w14:textId="77777777" w:rsidR="00C92D91" w:rsidRPr="005D4F3C" w:rsidRDefault="00C92D91" w:rsidP="00C92D91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56F4773D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7B8F3D31" w14:textId="77777777" w:rsidR="00C92D91" w:rsidRDefault="00C92D91" w:rsidP="00C92D91">
          <w:pPr>
            <w:pStyle w:val="llb"/>
            <w:jc w:val="left"/>
          </w:pPr>
        </w:p>
      </w:tc>
    </w:tr>
    <w:tr w:rsidR="00C92D91" w14:paraId="16B1626A" w14:textId="77777777" w:rsidTr="00757736">
      <w:trPr>
        <w:trHeight w:val="397"/>
      </w:trPr>
      <w:tc>
        <w:tcPr>
          <w:tcW w:w="1106" w:type="dxa"/>
          <w:vMerge/>
        </w:tcPr>
        <w:p w14:paraId="3CC477E7" w14:textId="77777777" w:rsidR="00C92D91" w:rsidRPr="005D4F3C" w:rsidRDefault="00C92D91" w:rsidP="00C92D91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5838A3B2" w14:textId="77777777" w:rsidR="00C92D91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0FECC825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09C6FD2D" w14:textId="77777777" w:rsidR="00C92D91" w:rsidRPr="005D4F3C" w:rsidRDefault="00C92D91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31EB50A2" w14:textId="5183FB32" w:rsidR="00C92D91" w:rsidRPr="005D4F3C" w:rsidRDefault="002C0EC3" w:rsidP="00C92D91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C92D91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2B8133EA" w14:textId="77777777" w:rsidR="00C92D91" w:rsidRDefault="00C92D91" w:rsidP="00C92D91">
          <w:pPr>
            <w:pStyle w:val="llb"/>
          </w:pPr>
        </w:p>
      </w:tc>
    </w:tr>
  </w:tbl>
  <w:p w14:paraId="1566B326" w14:textId="77F3E9E2" w:rsidR="00C92D91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303E8191" wp14:editId="62C3DD6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57" w:type="dxa"/>
      </w:tblCellMar>
      <w:tblLook w:val="04A0" w:firstRow="1" w:lastRow="0" w:firstColumn="1" w:lastColumn="0" w:noHBand="0" w:noVBand="1"/>
    </w:tblPr>
    <w:tblGrid>
      <w:gridCol w:w="1106"/>
      <w:gridCol w:w="2835"/>
      <w:gridCol w:w="2693"/>
      <w:gridCol w:w="1134"/>
    </w:tblGrid>
    <w:tr w:rsidR="002F59F3" w14:paraId="321B54FF" w14:textId="77777777" w:rsidTr="005D4F3C">
      <w:trPr>
        <w:trHeight w:val="397"/>
      </w:trPr>
      <w:tc>
        <w:tcPr>
          <w:tcW w:w="1106" w:type="dxa"/>
          <w:vMerge w:val="restart"/>
          <w:vAlign w:val="center"/>
        </w:tcPr>
        <w:p w14:paraId="05DB6680" w14:textId="77777777" w:rsidR="002F59F3" w:rsidRPr="005D4F3C" w:rsidRDefault="002F59F3" w:rsidP="002F59F3">
          <w:pPr>
            <w:pStyle w:val="llb"/>
            <w:jc w:val="left"/>
            <w:rPr>
              <w:color w:val="121D46"/>
            </w:rPr>
          </w:pPr>
          <w:r w:rsidRPr="005D4F3C">
            <w:rPr>
              <w:noProof/>
              <w:color w:val="121D46"/>
              <w:lang w:eastAsia="hu-HU"/>
            </w:rPr>
            <w:drawing>
              <wp:inline distT="0" distB="0" distL="0" distR="0" wp14:anchorId="39FFB1B6" wp14:editId="21516910">
                <wp:extent cx="466725" cy="504825"/>
                <wp:effectExtent l="0" t="0" r="9525" b="9525"/>
                <wp:docPr id="102" name="Kép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14:paraId="4CF7DD51" w14:textId="7C1173AD" w:rsidR="002F59F3" w:rsidRPr="005D4F3C" w:rsidRDefault="000010AA" w:rsidP="005D4F3C">
          <w:pPr>
            <w:pStyle w:val="llb"/>
            <w:rPr>
              <w:rFonts w:ascii="Poppins" w:hAnsi="Poppins" w:cs="Poppins"/>
              <w:b/>
              <w:color w:val="121D46"/>
              <w:sz w:val="14"/>
              <w:szCs w:val="14"/>
            </w:rPr>
          </w:pPr>
          <w:r>
            <w:rPr>
              <w:rFonts w:ascii="Poppins" w:hAnsi="Poppins" w:cs="Poppins"/>
              <w:b/>
              <w:color w:val="121D46"/>
              <w:sz w:val="14"/>
              <w:szCs w:val="14"/>
            </w:rPr>
            <w:t>PTE ÁOK MKO PR Kommunikációs Iroda</w:t>
          </w:r>
        </w:p>
        <w:p w14:paraId="5BF25BB1" w14:textId="77777777" w:rsidR="005D4F3C" w:rsidRPr="005D4F3C" w:rsidRDefault="005D4F3C" w:rsidP="005D4F3C">
          <w:pPr>
            <w:pStyle w:val="llb"/>
            <w:jc w:val="left"/>
            <w:rPr>
              <w:rFonts w:ascii="Poppins" w:hAnsi="Poppins" w:cs="Poppins"/>
              <w:b/>
              <w:color w:val="121D46"/>
              <w:sz w:val="14"/>
              <w:szCs w:val="14"/>
            </w:rPr>
          </w:pPr>
        </w:p>
      </w:tc>
      <w:tc>
        <w:tcPr>
          <w:tcW w:w="2693" w:type="dxa"/>
        </w:tcPr>
        <w:p w14:paraId="7BB48B62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1134" w:type="dxa"/>
          <w:vMerge w:val="restart"/>
          <w:vAlign w:val="center"/>
        </w:tcPr>
        <w:p w14:paraId="585438FE" w14:textId="6B4A0DCF" w:rsidR="002F59F3" w:rsidRDefault="002F59F3" w:rsidP="002F59F3">
          <w:pPr>
            <w:pStyle w:val="llb"/>
            <w:jc w:val="left"/>
          </w:pPr>
        </w:p>
      </w:tc>
    </w:tr>
    <w:tr w:rsidR="002F59F3" w14:paraId="7681C567" w14:textId="77777777" w:rsidTr="005D4F3C">
      <w:trPr>
        <w:trHeight w:val="397"/>
      </w:trPr>
      <w:tc>
        <w:tcPr>
          <w:tcW w:w="1106" w:type="dxa"/>
          <w:vMerge/>
        </w:tcPr>
        <w:p w14:paraId="5D98839E" w14:textId="77777777" w:rsidR="002F59F3" w:rsidRPr="005D4F3C" w:rsidRDefault="002F59F3">
          <w:pPr>
            <w:pStyle w:val="llb"/>
            <w:rPr>
              <w:color w:val="121D46"/>
            </w:rPr>
          </w:pPr>
        </w:p>
      </w:tc>
      <w:tc>
        <w:tcPr>
          <w:tcW w:w="2835" w:type="dxa"/>
        </w:tcPr>
        <w:p w14:paraId="2CB7B532" w14:textId="77777777" w:rsidR="000010AA" w:rsidRDefault="000010AA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</w:p>
        <w:p w14:paraId="35622144" w14:textId="1ECCAA8D" w:rsidR="005D4F3C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H-7624 Pécs, Szigeti út 12.</w:t>
          </w:r>
        </w:p>
      </w:tc>
      <w:tc>
        <w:tcPr>
          <w:tcW w:w="2693" w:type="dxa"/>
        </w:tcPr>
        <w:p w14:paraId="10A2F45D" w14:textId="4D3D3368" w:rsidR="002F59F3" w:rsidRPr="005D4F3C" w:rsidRDefault="005D4F3C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 w:rsidRPr="005D4F3C">
            <w:rPr>
              <w:rFonts w:ascii="Planer Light" w:hAnsi="Planer Light"/>
              <w:color w:val="121D46"/>
              <w:sz w:val="14"/>
              <w:szCs w:val="14"/>
            </w:rPr>
            <w:t>+36 (72) 536-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416</w:t>
          </w:r>
          <w:r w:rsidRPr="005D4F3C">
            <w:rPr>
              <w:rFonts w:ascii="Planer Light" w:hAnsi="Planer Light"/>
              <w:color w:val="121D46"/>
              <w:sz w:val="14"/>
              <w:szCs w:val="14"/>
            </w:rPr>
            <w:t xml:space="preserve"> /35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417</w:t>
          </w:r>
        </w:p>
        <w:p w14:paraId="56855246" w14:textId="73CC414C" w:rsidR="005D4F3C" w:rsidRPr="005D4F3C" w:rsidRDefault="002C0EC3">
          <w:pPr>
            <w:pStyle w:val="llb"/>
            <w:rPr>
              <w:rFonts w:ascii="Planer Light" w:hAnsi="Planer Light"/>
              <w:color w:val="121D46"/>
              <w:sz w:val="14"/>
              <w:szCs w:val="14"/>
            </w:rPr>
          </w:pPr>
          <w:r>
            <w:rPr>
              <w:rFonts w:ascii="Planer Light" w:hAnsi="Planer Light"/>
              <w:color w:val="121D46"/>
              <w:sz w:val="14"/>
              <w:szCs w:val="14"/>
            </w:rPr>
            <w:t>viktor.harta</w:t>
          </w:r>
          <w:r w:rsidR="000010AA">
            <w:rPr>
              <w:rFonts w:ascii="Planer Light" w:hAnsi="Planer Light"/>
              <w:color w:val="121D46"/>
              <w:sz w:val="14"/>
              <w:szCs w:val="14"/>
            </w:rPr>
            <w:t>@aok.pte.hu</w:t>
          </w:r>
        </w:p>
      </w:tc>
      <w:tc>
        <w:tcPr>
          <w:tcW w:w="1134" w:type="dxa"/>
          <w:vMerge/>
        </w:tcPr>
        <w:p w14:paraId="53B23400" w14:textId="77777777" w:rsidR="002F59F3" w:rsidRDefault="002F59F3">
          <w:pPr>
            <w:pStyle w:val="llb"/>
          </w:pPr>
        </w:p>
      </w:tc>
    </w:tr>
  </w:tbl>
  <w:p w14:paraId="6B7F05B7" w14:textId="0E4CAE79" w:rsidR="00780B10" w:rsidRDefault="00C92D91">
    <w:pPr>
      <w:pStyle w:val="llb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26A2903" wp14:editId="20CC9205">
          <wp:simplePos x="0" y="0"/>
          <wp:positionH relativeFrom="page">
            <wp:posOffset>504190</wp:posOffset>
          </wp:positionH>
          <wp:positionV relativeFrom="page">
            <wp:posOffset>10193655</wp:posOffset>
          </wp:positionV>
          <wp:extent cx="7020000" cy="20664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0B10">
      <w:rPr>
        <w:noProof/>
        <w:lang w:eastAsia="hu-HU"/>
      </w:rPr>
      <w:drawing>
        <wp:anchor distT="0" distB="0" distL="114300" distR="114300" simplePos="0" relativeHeight="251658240" behindDoc="1" locked="0" layoutInCell="1" allowOverlap="1" wp14:anchorId="385279D8" wp14:editId="3406571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020000" cy="2066400"/>
          <wp:effectExtent l="0" t="0" r="0" b="0"/>
          <wp:wrapNone/>
          <wp:docPr id="104" name="Kép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vélpapír_alul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20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FA0ED" w14:textId="77777777" w:rsidR="00360F6F" w:rsidRDefault="00360F6F" w:rsidP="00A2314E">
      <w:pPr>
        <w:spacing w:after="0" w:line="240" w:lineRule="auto"/>
      </w:pPr>
      <w:r>
        <w:separator/>
      </w:r>
    </w:p>
  </w:footnote>
  <w:footnote w:type="continuationSeparator" w:id="0">
    <w:p w14:paraId="137C4162" w14:textId="77777777" w:rsidR="00360F6F" w:rsidRDefault="00360F6F" w:rsidP="00A2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C92D91" w14:paraId="6EF6E31F" w14:textId="77777777" w:rsidTr="00757736">
      <w:trPr>
        <w:trHeight w:val="556"/>
      </w:trPr>
      <w:tc>
        <w:tcPr>
          <w:tcW w:w="1361" w:type="dxa"/>
          <w:vMerge w:val="restart"/>
          <w:vAlign w:val="center"/>
        </w:tcPr>
        <w:p w14:paraId="0ABDF428" w14:textId="77777777" w:rsidR="00C92D91" w:rsidRDefault="00C92D91" w:rsidP="00C92D91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080DDF9E" wp14:editId="1748569D">
                <wp:extent cx="704850" cy="70485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344C521D" w14:textId="77777777" w:rsidR="00C92D91" w:rsidRDefault="00C92D91" w:rsidP="00C92D91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Pécsi Tudományegyetem Általános Orvostudományi kar</w:t>
          </w:r>
        </w:p>
      </w:tc>
    </w:tr>
    <w:tr w:rsidR="00C92D91" w14:paraId="21D87504" w14:textId="77777777" w:rsidTr="00757736">
      <w:trPr>
        <w:trHeight w:val="556"/>
      </w:trPr>
      <w:tc>
        <w:tcPr>
          <w:tcW w:w="1361" w:type="dxa"/>
          <w:vMerge/>
        </w:tcPr>
        <w:p w14:paraId="10740C22" w14:textId="77777777" w:rsidR="00C92D91" w:rsidRDefault="00C92D91" w:rsidP="00C92D91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4F022F2B" w14:textId="77777777" w:rsidR="00C92D91" w:rsidRPr="000E132E" w:rsidRDefault="00C92D91" w:rsidP="00C92D91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16B1D69F" w14:textId="77777777" w:rsidR="00C92D91" w:rsidRPr="00C92D91" w:rsidRDefault="00C92D91" w:rsidP="00C92D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61"/>
      <w:gridCol w:w="8957"/>
    </w:tblGrid>
    <w:tr w:rsidR="00010D0F" w14:paraId="740E3296" w14:textId="77777777" w:rsidTr="00A318D6">
      <w:trPr>
        <w:trHeight w:val="556"/>
      </w:trPr>
      <w:tc>
        <w:tcPr>
          <w:tcW w:w="1361" w:type="dxa"/>
          <w:vMerge w:val="restart"/>
          <w:vAlign w:val="center"/>
        </w:tcPr>
        <w:p w14:paraId="0F36B0C8" w14:textId="77777777" w:rsidR="00010D0F" w:rsidRDefault="00010D0F" w:rsidP="00010D0F">
          <w:pPr>
            <w:jc w:val="left"/>
          </w:pPr>
          <w:r w:rsidRPr="000E132E">
            <w:rPr>
              <w:noProof/>
              <w:lang w:eastAsia="hu-HU"/>
            </w:rPr>
            <w:drawing>
              <wp:inline distT="0" distB="0" distL="0" distR="0" wp14:anchorId="6DC00E41" wp14:editId="7BEFCFB1">
                <wp:extent cx="704850" cy="704850"/>
                <wp:effectExtent l="0" t="0" r="0" b="0"/>
                <wp:docPr id="106" name="Kép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7" w:type="dxa"/>
          <w:tcBorders>
            <w:bottom w:val="single" w:sz="8" w:space="0" w:color="9DA8C4"/>
          </w:tcBorders>
          <w:tcMar>
            <w:bottom w:w="57" w:type="dxa"/>
          </w:tcMar>
          <w:vAlign w:val="bottom"/>
        </w:tcPr>
        <w:p w14:paraId="4028B0AA" w14:textId="3CA1A174" w:rsidR="00010D0F" w:rsidRDefault="00010D0F" w:rsidP="00010D0F">
          <w:pPr>
            <w:jc w:val="right"/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 xml:space="preserve">Pécsi Tudományegyetem </w:t>
          </w:r>
          <w:r w:rsidR="000010AA"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Általános Orvostudományi kar</w:t>
          </w:r>
        </w:p>
      </w:tc>
    </w:tr>
    <w:tr w:rsidR="00010D0F" w14:paraId="35B6D76F" w14:textId="77777777" w:rsidTr="00A318D6">
      <w:trPr>
        <w:trHeight w:val="556"/>
      </w:trPr>
      <w:tc>
        <w:tcPr>
          <w:tcW w:w="1361" w:type="dxa"/>
          <w:vMerge/>
        </w:tcPr>
        <w:p w14:paraId="5FB7939C" w14:textId="77777777" w:rsidR="00010D0F" w:rsidRDefault="00010D0F" w:rsidP="00010D0F"/>
      </w:tc>
      <w:tc>
        <w:tcPr>
          <w:tcW w:w="8957" w:type="dxa"/>
          <w:tcBorders>
            <w:top w:val="single" w:sz="8" w:space="0" w:color="9DA8C4"/>
          </w:tcBorders>
          <w:tcMar>
            <w:top w:w="57" w:type="dxa"/>
          </w:tcMar>
        </w:tcPr>
        <w:p w14:paraId="20A6AFE6" w14:textId="7B508CEE" w:rsidR="00010D0F" w:rsidRPr="000E132E" w:rsidRDefault="000010AA" w:rsidP="00010D0F">
          <w:pPr>
            <w:jc w:val="right"/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</w:pPr>
          <w:r>
            <w:rPr>
              <w:rFonts w:ascii="Optima CE" w:hAnsi="Optima CE" w:cstheme="minorHAnsi"/>
              <w:b/>
              <w:caps/>
              <w:color w:val="121D46"/>
              <w:sz w:val="18"/>
              <w:szCs w:val="18"/>
            </w:rPr>
            <w:t>Marketing és Kommunikációs Osztály, PR Kommunikációs Iroda</w:t>
          </w:r>
        </w:p>
      </w:tc>
    </w:tr>
  </w:tbl>
  <w:p w14:paraId="42737EBD" w14:textId="77777777" w:rsidR="00010D0F" w:rsidRPr="00010D0F" w:rsidRDefault="00010D0F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76"/>
    <w:multiLevelType w:val="hybridMultilevel"/>
    <w:tmpl w:val="ADB8159C"/>
    <w:lvl w:ilvl="0" w:tplc="040E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6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3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096" w:hanging="360"/>
      </w:pPr>
      <w:rPr>
        <w:rFonts w:ascii="Wingdings" w:hAnsi="Wingdings" w:hint="default"/>
      </w:rPr>
    </w:lvl>
  </w:abstractNum>
  <w:abstractNum w:abstractNumId="1" w15:restartNumberingAfterBreak="0">
    <w:nsid w:val="030B719A"/>
    <w:multiLevelType w:val="hybridMultilevel"/>
    <w:tmpl w:val="F238011A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7465A"/>
    <w:multiLevelType w:val="hybridMultilevel"/>
    <w:tmpl w:val="365256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1F7"/>
    <w:multiLevelType w:val="hybridMultilevel"/>
    <w:tmpl w:val="BF407E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C3F28"/>
    <w:multiLevelType w:val="multilevel"/>
    <w:tmpl w:val="2CA2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E061FE"/>
    <w:multiLevelType w:val="hybridMultilevel"/>
    <w:tmpl w:val="278682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6469"/>
    <w:multiLevelType w:val="hybridMultilevel"/>
    <w:tmpl w:val="C4F0CF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26FD"/>
    <w:multiLevelType w:val="hybridMultilevel"/>
    <w:tmpl w:val="BEA659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91655"/>
    <w:multiLevelType w:val="hybridMultilevel"/>
    <w:tmpl w:val="02E46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B3539"/>
    <w:multiLevelType w:val="hybridMultilevel"/>
    <w:tmpl w:val="2980925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E1163E1"/>
    <w:multiLevelType w:val="hybridMultilevel"/>
    <w:tmpl w:val="E1586C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34C4F"/>
    <w:multiLevelType w:val="hybridMultilevel"/>
    <w:tmpl w:val="4C6A0EBE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3109C"/>
    <w:multiLevelType w:val="hybridMultilevel"/>
    <w:tmpl w:val="A560CA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751C"/>
    <w:multiLevelType w:val="hybridMultilevel"/>
    <w:tmpl w:val="EF2C0B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569AF"/>
    <w:multiLevelType w:val="hybridMultilevel"/>
    <w:tmpl w:val="6582A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567E3"/>
    <w:multiLevelType w:val="hybridMultilevel"/>
    <w:tmpl w:val="5CAA5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35FE1"/>
    <w:multiLevelType w:val="hybridMultilevel"/>
    <w:tmpl w:val="0026F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933C8"/>
    <w:multiLevelType w:val="hybridMultilevel"/>
    <w:tmpl w:val="7FE61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D08CA"/>
    <w:multiLevelType w:val="hybridMultilevel"/>
    <w:tmpl w:val="47DEA4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42DB3"/>
    <w:multiLevelType w:val="hybridMultilevel"/>
    <w:tmpl w:val="AD38D1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E65E18"/>
    <w:multiLevelType w:val="hybridMultilevel"/>
    <w:tmpl w:val="26A4AA02"/>
    <w:lvl w:ilvl="0" w:tplc="8C7845F4">
      <w:numFmt w:val="bullet"/>
      <w:lvlText w:val="•"/>
      <w:lvlJc w:val="left"/>
      <w:pPr>
        <w:ind w:left="1068" w:hanging="708"/>
      </w:pPr>
      <w:rPr>
        <w:rFonts w:ascii="Poppins Light" w:eastAsiaTheme="minorHAnsi" w:hAnsi="Poppins Light" w:cs="Poppins Light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1591B"/>
    <w:multiLevelType w:val="hybridMultilevel"/>
    <w:tmpl w:val="70AE42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7A37"/>
    <w:multiLevelType w:val="hybridMultilevel"/>
    <w:tmpl w:val="E168F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0"/>
  </w:num>
  <w:num w:numId="5">
    <w:abstractNumId w:val="21"/>
  </w:num>
  <w:num w:numId="6">
    <w:abstractNumId w:val="9"/>
  </w:num>
  <w:num w:numId="7">
    <w:abstractNumId w:val="3"/>
  </w:num>
  <w:num w:numId="8">
    <w:abstractNumId w:val="10"/>
  </w:num>
  <w:num w:numId="9">
    <w:abstractNumId w:val="4"/>
  </w:num>
  <w:num w:numId="10">
    <w:abstractNumId w:val="18"/>
  </w:num>
  <w:num w:numId="11">
    <w:abstractNumId w:val="19"/>
  </w:num>
  <w:num w:numId="12">
    <w:abstractNumId w:val="14"/>
  </w:num>
  <w:num w:numId="13">
    <w:abstractNumId w:val="7"/>
  </w:num>
  <w:num w:numId="14">
    <w:abstractNumId w:val="12"/>
  </w:num>
  <w:num w:numId="15">
    <w:abstractNumId w:val="1"/>
  </w:num>
  <w:num w:numId="16">
    <w:abstractNumId w:val="20"/>
  </w:num>
  <w:num w:numId="17">
    <w:abstractNumId w:val="11"/>
  </w:num>
  <w:num w:numId="18">
    <w:abstractNumId w:val="6"/>
  </w:num>
  <w:num w:numId="19">
    <w:abstractNumId w:val="22"/>
  </w:num>
  <w:num w:numId="20">
    <w:abstractNumId w:val="17"/>
  </w:num>
  <w:num w:numId="21">
    <w:abstractNumId w:val="2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4E"/>
    <w:rsid w:val="000010AA"/>
    <w:rsid w:val="00010D0F"/>
    <w:rsid w:val="00017CAE"/>
    <w:rsid w:val="00021C3F"/>
    <w:rsid w:val="00021DDE"/>
    <w:rsid w:val="000244DF"/>
    <w:rsid w:val="00026CD2"/>
    <w:rsid w:val="00070577"/>
    <w:rsid w:val="000C5C88"/>
    <w:rsid w:val="000D38CB"/>
    <w:rsid w:val="000D6C51"/>
    <w:rsid w:val="000D7E13"/>
    <w:rsid w:val="000E132E"/>
    <w:rsid w:val="000E3C46"/>
    <w:rsid w:val="000F702F"/>
    <w:rsid w:val="001017CC"/>
    <w:rsid w:val="001142AB"/>
    <w:rsid w:val="00126B77"/>
    <w:rsid w:val="00156ABF"/>
    <w:rsid w:val="00177CE7"/>
    <w:rsid w:val="001A3352"/>
    <w:rsid w:val="001A3EAE"/>
    <w:rsid w:val="001B4114"/>
    <w:rsid w:val="001B4B7E"/>
    <w:rsid w:val="001C4EC8"/>
    <w:rsid w:val="00215233"/>
    <w:rsid w:val="002C0EC3"/>
    <w:rsid w:val="002E768A"/>
    <w:rsid w:val="002F1A74"/>
    <w:rsid w:val="002F59F3"/>
    <w:rsid w:val="00300FB0"/>
    <w:rsid w:val="00301990"/>
    <w:rsid w:val="0030272F"/>
    <w:rsid w:val="00305B3A"/>
    <w:rsid w:val="003136F7"/>
    <w:rsid w:val="00316594"/>
    <w:rsid w:val="00334F09"/>
    <w:rsid w:val="00360F6F"/>
    <w:rsid w:val="00372DF5"/>
    <w:rsid w:val="0038759B"/>
    <w:rsid w:val="003A39B1"/>
    <w:rsid w:val="003C16E2"/>
    <w:rsid w:val="003E57E2"/>
    <w:rsid w:val="004027E2"/>
    <w:rsid w:val="00403731"/>
    <w:rsid w:val="00415417"/>
    <w:rsid w:val="00420B5A"/>
    <w:rsid w:val="00423E6D"/>
    <w:rsid w:val="00426DE9"/>
    <w:rsid w:val="004446BF"/>
    <w:rsid w:val="0044747C"/>
    <w:rsid w:val="0047403C"/>
    <w:rsid w:val="004840A5"/>
    <w:rsid w:val="004B086E"/>
    <w:rsid w:val="004C289E"/>
    <w:rsid w:val="004F1BED"/>
    <w:rsid w:val="005010DC"/>
    <w:rsid w:val="005150F5"/>
    <w:rsid w:val="00537D65"/>
    <w:rsid w:val="005503E4"/>
    <w:rsid w:val="0057391E"/>
    <w:rsid w:val="0058016B"/>
    <w:rsid w:val="00582C94"/>
    <w:rsid w:val="00591C71"/>
    <w:rsid w:val="005A3584"/>
    <w:rsid w:val="005D27F5"/>
    <w:rsid w:val="005D4F3C"/>
    <w:rsid w:val="005F2C1F"/>
    <w:rsid w:val="005F3F90"/>
    <w:rsid w:val="00620846"/>
    <w:rsid w:val="00645239"/>
    <w:rsid w:val="006B0529"/>
    <w:rsid w:val="006C2514"/>
    <w:rsid w:val="006C7E2C"/>
    <w:rsid w:val="0070644A"/>
    <w:rsid w:val="007103C4"/>
    <w:rsid w:val="00756B0F"/>
    <w:rsid w:val="007737DF"/>
    <w:rsid w:val="00775356"/>
    <w:rsid w:val="00780B10"/>
    <w:rsid w:val="007819E5"/>
    <w:rsid w:val="0078360B"/>
    <w:rsid w:val="007973D5"/>
    <w:rsid w:val="007A025E"/>
    <w:rsid w:val="007B4037"/>
    <w:rsid w:val="007D641B"/>
    <w:rsid w:val="0082295A"/>
    <w:rsid w:val="008265B6"/>
    <w:rsid w:val="00830882"/>
    <w:rsid w:val="00851507"/>
    <w:rsid w:val="00852B3F"/>
    <w:rsid w:val="00884ED3"/>
    <w:rsid w:val="00885F69"/>
    <w:rsid w:val="00886895"/>
    <w:rsid w:val="008A0D2F"/>
    <w:rsid w:val="008A3DC0"/>
    <w:rsid w:val="008B28B6"/>
    <w:rsid w:val="008F3A02"/>
    <w:rsid w:val="00926924"/>
    <w:rsid w:val="00940BB9"/>
    <w:rsid w:val="00944007"/>
    <w:rsid w:val="0094590F"/>
    <w:rsid w:val="0095348C"/>
    <w:rsid w:val="00965C5A"/>
    <w:rsid w:val="00973FC9"/>
    <w:rsid w:val="009747E5"/>
    <w:rsid w:val="00982828"/>
    <w:rsid w:val="009A1F3B"/>
    <w:rsid w:val="009A5B70"/>
    <w:rsid w:val="009D4CD3"/>
    <w:rsid w:val="009E2278"/>
    <w:rsid w:val="009E33C7"/>
    <w:rsid w:val="009E3552"/>
    <w:rsid w:val="00A00397"/>
    <w:rsid w:val="00A2314E"/>
    <w:rsid w:val="00A37B13"/>
    <w:rsid w:val="00A435C3"/>
    <w:rsid w:val="00A852B9"/>
    <w:rsid w:val="00A97506"/>
    <w:rsid w:val="00AA4A43"/>
    <w:rsid w:val="00AB7155"/>
    <w:rsid w:val="00AD4B5E"/>
    <w:rsid w:val="00AD7EFC"/>
    <w:rsid w:val="00AE7FC0"/>
    <w:rsid w:val="00AF3CE4"/>
    <w:rsid w:val="00AF4BBC"/>
    <w:rsid w:val="00AF62E0"/>
    <w:rsid w:val="00B01EDC"/>
    <w:rsid w:val="00B1548B"/>
    <w:rsid w:val="00B25468"/>
    <w:rsid w:val="00B25ACD"/>
    <w:rsid w:val="00B269BB"/>
    <w:rsid w:val="00B27E03"/>
    <w:rsid w:val="00B373D1"/>
    <w:rsid w:val="00B551B7"/>
    <w:rsid w:val="00B61AAB"/>
    <w:rsid w:val="00B678EC"/>
    <w:rsid w:val="00B72027"/>
    <w:rsid w:val="00B751E6"/>
    <w:rsid w:val="00B806FE"/>
    <w:rsid w:val="00BA0B38"/>
    <w:rsid w:val="00BD1845"/>
    <w:rsid w:val="00BF500F"/>
    <w:rsid w:val="00C2461D"/>
    <w:rsid w:val="00C44694"/>
    <w:rsid w:val="00C76E86"/>
    <w:rsid w:val="00C82E51"/>
    <w:rsid w:val="00C92D91"/>
    <w:rsid w:val="00CB798D"/>
    <w:rsid w:val="00CC7697"/>
    <w:rsid w:val="00CD62CE"/>
    <w:rsid w:val="00CD7640"/>
    <w:rsid w:val="00D02D1D"/>
    <w:rsid w:val="00D10A02"/>
    <w:rsid w:val="00D47262"/>
    <w:rsid w:val="00D51344"/>
    <w:rsid w:val="00D76350"/>
    <w:rsid w:val="00D85D80"/>
    <w:rsid w:val="00D92BDB"/>
    <w:rsid w:val="00DA7168"/>
    <w:rsid w:val="00DB6EC7"/>
    <w:rsid w:val="00DC1ACC"/>
    <w:rsid w:val="00DC1F03"/>
    <w:rsid w:val="00DF370B"/>
    <w:rsid w:val="00DF7D6A"/>
    <w:rsid w:val="00E16B0D"/>
    <w:rsid w:val="00E2176F"/>
    <w:rsid w:val="00E450FB"/>
    <w:rsid w:val="00E47CC9"/>
    <w:rsid w:val="00E67440"/>
    <w:rsid w:val="00E85352"/>
    <w:rsid w:val="00EC19FF"/>
    <w:rsid w:val="00ED1A2F"/>
    <w:rsid w:val="00EE3444"/>
    <w:rsid w:val="00EE683B"/>
    <w:rsid w:val="00F04D1E"/>
    <w:rsid w:val="00F2728F"/>
    <w:rsid w:val="00F35802"/>
    <w:rsid w:val="00F463A4"/>
    <w:rsid w:val="00F850C8"/>
    <w:rsid w:val="00FB15B9"/>
    <w:rsid w:val="00FB5A63"/>
    <w:rsid w:val="00FC41B4"/>
    <w:rsid w:val="00FC4960"/>
    <w:rsid w:val="00FC654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FB423"/>
  <w15:chartTrackingRefBased/>
  <w15:docId w15:val="{4544397C-9D2C-45CF-940F-4518BED7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0D0F"/>
    <w:pPr>
      <w:jc w:val="both"/>
    </w:pPr>
    <w:rPr>
      <w:rFonts w:ascii="Poppins Light" w:hAnsi="Poppins Light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2314E"/>
  </w:style>
  <w:style w:type="paragraph" w:styleId="llb">
    <w:name w:val="footer"/>
    <w:basedOn w:val="Norml"/>
    <w:link w:val="llbChar"/>
    <w:uiPriority w:val="99"/>
    <w:unhideWhenUsed/>
    <w:rsid w:val="00A2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2314E"/>
  </w:style>
  <w:style w:type="table" w:styleId="Rcsostblzat">
    <w:name w:val="Table Grid"/>
    <w:basedOn w:val="Normltblzat"/>
    <w:uiPriority w:val="39"/>
    <w:rsid w:val="002F5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0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0D0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0010AA"/>
    <w:pPr>
      <w:spacing w:after="200" w:line="276" w:lineRule="auto"/>
      <w:ind w:left="720"/>
      <w:contextualSpacing/>
      <w:jc w:val="left"/>
    </w:pPr>
    <w:rPr>
      <w:rFonts w:asciiTheme="minorHAnsi" w:hAnsiTheme="minorHAnsi"/>
    </w:rPr>
  </w:style>
  <w:style w:type="character" w:styleId="Hiperhivatkozs">
    <w:name w:val="Hyperlink"/>
    <w:basedOn w:val="Bekezdsalapbettpusa"/>
    <w:uiPriority w:val="99"/>
    <w:unhideWhenUsed/>
    <w:rsid w:val="00822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29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D62CE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0F702F"/>
    <w:pPr>
      <w:spacing w:after="0" w:line="240" w:lineRule="auto"/>
    </w:pPr>
    <w:rPr>
      <w:rFonts w:ascii="Poppins Light" w:hAnsi="Poppins Light"/>
    </w:rPr>
  </w:style>
  <w:style w:type="character" w:styleId="Jegyzethivatkozs">
    <w:name w:val="annotation reference"/>
    <w:basedOn w:val="Bekezdsalapbettpusa"/>
    <w:uiPriority w:val="99"/>
    <w:semiHidden/>
    <w:unhideWhenUsed/>
    <w:rsid w:val="000F70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F70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F702F"/>
    <w:rPr>
      <w:rFonts w:ascii="Poppins Light" w:hAnsi="Poppins Light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F70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F702F"/>
    <w:rPr>
      <w:rFonts w:ascii="Poppins Light" w:hAnsi="Poppins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fme.org/accreditation/ecfmg-2023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otepedia.aok.pte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k.pte.hu/hu/hirek/hir/14325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ACAB-8E26-4DEC-931E-92382B8DC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574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Czulák Szilvia</dc:creator>
  <cp:keywords/>
  <dc:description/>
  <cp:lastModifiedBy>Harta Viktor</cp:lastModifiedBy>
  <cp:revision>2</cp:revision>
  <cp:lastPrinted>2021-06-10T12:02:00Z</cp:lastPrinted>
  <dcterms:created xsi:type="dcterms:W3CDTF">2022-08-01T14:01:00Z</dcterms:created>
  <dcterms:modified xsi:type="dcterms:W3CDTF">2022-08-01T14:01:00Z</dcterms:modified>
</cp:coreProperties>
</file>