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B8FF"/>
  <w:body>
    <w:p w14:paraId="71883D3B" w14:textId="14042979" w:rsidR="00F315E5" w:rsidRPr="00F315E5" w:rsidRDefault="00882098" w:rsidP="00F315E5">
      <w:pPr>
        <w:widowControl/>
        <w:suppressAutoHyphens w:val="0"/>
        <w:spacing w:line="276" w:lineRule="auto"/>
        <w:jc w:val="center"/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 xml:space="preserve">Az idei </w:t>
      </w:r>
      <w:proofErr w:type="spellStart"/>
      <w:r w:rsidR="00F315E5" w:rsidRPr="00F315E5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>Tüke</w:t>
      </w:r>
      <w:proofErr w:type="spellEnd"/>
      <w:r w:rsidR="00F315E5" w:rsidRPr="00F315E5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>-díjas</w:t>
      </w:r>
      <w:r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>ok a pécsi mérnökképzés szolgálatában</w:t>
      </w:r>
    </w:p>
    <w:p w14:paraId="12A1E30B" w14:textId="77777777" w:rsidR="00F315E5" w:rsidRPr="00F315E5" w:rsidRDefault="00F315E5" w:rsidP="00F315E5">
      <w:pPr>
        <w:widowControl/>
        <w:suppressAutoHyphens w:val="0"/>
        <w:spacing w:line="276" w:lineRule="auto"/>
        <w:jc w:val="center"/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</w:pPr>
    </w:p>
    <w:p w14:paraId="678FD1F8" w14:textId="77777777" w:rsidR="00F315E5" w:rsidRPr="00F315E5" w:rsidRDefault="00F315E5" w:rsidP="00F315E5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1377010C" w14:textId="77777777" w:rsidR="00F315E5" w:rsidRPr="00F315E5" w:rsidRDefault="00F315E5" w:rsidP="00F315E5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pPr>
      <w:r w:rsidRPr="00F315E5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2022-ben </w:t>
      </w:r>
      <w:proofErr w:type="spellStart"/>
      <w:r w:rsidRPr="00F315E5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Hirth</w:t>
      </w:r>
      <w:proofErr w:type="spellEnd"/>
      <w:r w:rsidRPr="00F315E5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Ferenc, a KONTAKT-</w:t>
      </w:r>
      <w:proofErr w:type="spellStart"/>
      <w:r w:rsidRPr="00F315E5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Elektro</w:t>
      </w:r>
      <w:proofErr w:type="spellEnd"/>
      <w:r w:rsidRPr="00F315E5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Kft. alapító-ügyvezetője és dr. Kukai Tibor ny. főiskolai docens, a Baranya Megyei Mérnöki Kamara elnöke vehette át a </w:t>
      </w:r>
      <w:proofErr w:type="spellStart"/>
      <w:r w:rsidRPr="00F315E5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Tüke</w:t>
      </w:r>
      <w:proofErr w:type="spellEnd"/>
      <w:r w:rsidRPr="00F315E5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-díjat. A rangos elismerést – amelyet olyan személy kaphat meg, aki példamutató tevékenységével jelentős mértékben hozzájárult Pécs fejlődéséhez – minden évben a pécsi polgárok ajánlásának figyelembevételével ítéli oda a </w:t>
      </w:r>
      <w:proofErr w:type="spellStart"/>
      <w:r w:rsidRPr="00F315E5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Tüke</w:t>
      </w:r>
      <w:proofErr w:type="spellEnd"/>
      <w:r w:rsidRPr="00F315E5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Alapítvány. Az idei </w:t>
      </w:r>
      <w:proofErr w:type="spellStart"/>
      <w:r w:rsidRPr="00F315E5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díjazottak</w:t>
      </w:r>
      <w:proofErr w:type="spellEnd"/>
      <w:r w:rsidRPr="00F315E5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több szállal is kapcsolódnak a Pécsi Tudományegyetem Műszaki és Informatikai Karához (PTE MIK), mindketten komoly nyomot hagytak a kar szakmai életében az elmúlt harminc évben. </w:t>
      </w:r>
    </w:p>
    <w:p w14:paraId="576FD6B1" w14:textId="77777777" w:rsidR="00F315E5" w:rsidRPr="00F315E5" w:rsidRDefault="00F315E5" w:rsidP="00F315E5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pPr>
    </w:p>
    <w:p w14:paraId="788C1A04" w14:textId="77777777" w:rsidR="00F315E5" w:rsidRPr="00F315E5" w:rsidRDefault="00F315E5" w:rsidP="00F315E5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F315E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Dr. Kukai Tibor egész életében jelentős szerepet vállalt Pécs város építészeti, a műszaki felsőoktatás és a PTE fejlesztésében. A műszaki tudományok doktoraként, építőmérnökként, szakmérnökként, igazságügyi műszaki szakértőként magas rangú szakmai vezetői beosztásokat töltött be, jelentős építés-kivitelezési feladatokban, ipari, kereskedelmi, oktatási, egyházi és kommunális építmények megvalósításában volt szerepe Pécsett, Baranyában, de az ország más területein is. Kiemelkedő a PTE egyetemi beruházásainak lebonyolításában, szakértésében való részvétele, a nevéhez fűződik például a </w:t>
      </w:r>
      <w:proofErr w:type="spellStart"/>
      <w:r w:rsidRPr="00F315E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Szentágothai</w:t>
      </w:r>
      <w:proofErr w:type="spellEnd"/>
      <w:r w:rsidRPr="00F315E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Kutatóközpont építése, a Négyszáz ágyas klinika rekonstrukciója, amit egyetemi főmérnökként, projektmenedzserként, a Műszaki és Informatikai Kar szakértőjeként kísért végig. </w:t>
      </w:r>
    </w:p>
    <w:p w14:paraId="31CF03DD" w14:textId="77777777" w:rsidR="00F315E5" w:rsidRPr="00F315E5" w:rsidRDefault="00F315E5" w:rsidP="00F315E5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F315E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Kukai Tibor egyetemi oktatóként és egyetemi vezetőként mintegy 30 éve vesz részt a felsőoktatás fejlesztésében, nyugdíjazása ellenére is igen aktív. Figyelmet érdemel az ipar számára szervezett különböző szakmai továbbképzések tematikájának kidolgozása és oktatása, a vizsgabizottságok munkájában való részvétel. Az építőmérnök szakma bástyája, a mérnök szakmák elkötelezettje, megkerülhetetlen az építéssel, építőmérnökséggel kapcsolatos mérnök szakmák oktatásának fejlesztésében. Több éven át vezette az Építés-kivitelezés Tanszéket, dékáni megbízottként a mai napig a MIK abszolút támasza. Több cikluson keresztül dékánhelyettesként támogatta az aktuális dékáni vezetést. Négy ciklus óta a Baranya Megyei Mérnöki Kamara elnöke, szakmai elhivatottsággal, igényes, precíz vezetői munkával lehetővé teszi a magyar mérnöktársadalom szakmai tudásának, elkötelezettségének folyamatos növekedését. </w:t>
      </w:r>
    </w:p>
    <w:p w14:paraId="6DD40B3A" w14:textId="77777777" w:rsidR="00F315E5" w:rsidRPr="00F315E5" w:rsidRDefault="00F315E5" w:rsidP="00F315E5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7ABF9705" w14:textId="77777777" w:rsidR="00F315E5" w:rsidRPr="00F315E5" w:rsidRDefault="00F315E5" w:rsidP="00F315E5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proofErr w:type="spellStart"/>
      <w:r w:rsidRPr="00F315E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Hirth</w:t>
      </w:r>
      <w:proofErr w:type="spellEnd"/>
      <w:r w:rsidRPr="00F315E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Ferenc több mint 35 éve működteti eredményesen az ipari villamosvezérlésre, automatizálásra, </w:t>
      </w:r>
      <w:proofErr w:type="spellStart"/>
      <w:r w:rsidRPr="00F315E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elektro</w:t>
      </w:r>
      <w:proofErr w:type="spellEnd"/>
      <w:r w:rsidRPr="00F315E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- és szenzortechnikai termékek gyártására, hidrogénüzemű tüzelőanyag-cellás berendezések fejlesztésére specializálódott vállalkozását. A világ négy földrészén jelen lévő KONTAKT-</w:t>
      </w:r>
      <w:proofErr w:type="spellStart"/>
      <w:r w:rsidRPr="00F315E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Elektro</w:t>
      </w:r>
      <w:proofErr w:type="spellEnd"/>
      <w:r w:rsidRPr="00F315E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Kft. szinte a kezdetektől folytat innovációs tevékenységet, az elmúlt évtizedekben a hidrogénüzemű tüzelőanyag-cellák gyártása, fejlesztése terén tett komoly </w:t>
      </w:r>
      <w:proofErr w:type="spellStart"/>
      <w:r w:rsidRPr="00F315E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előrelépéseket</w:t>
      </w:r>
      <w:proofErr w:type="spellEnd"/>
      <w:r w:rsidRPr="00F315E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. A </w:t>
      </w:r>
      <w:proofErr w:type="gramStart"/>
      <w:r w:rsidRPr="00F315E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fejlesztésekben</w:t>
      </w:r>
      <w:proofErr w:type="gramEnd"/>
      <w:r w:rsidRPr="00F315E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mint stratégiai partnerrel a PTE MIK Villamos és Informatikai Intézetével működnek együtt. </w:t>
      </w:r>
      <w:proofErr w:type="spellStart"/>
      <w:r w:rsidRPr="00F315E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Hirth</w:t>
      </w:r>
      <w:proofErr w:type="spellEnd"/>
      <w:r w:rsidRPr="00F315E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Ferenc cégvezetőként időben felismerte, hogy a fejlődés csak magasan képzett szakemberekkel képzelhető el, ezért több mint negyedszázada képeznek tanulókat és az utóbbi években a duális képzés keretében mérnökhallgatókat is fogadnak. A PTE MIK-kel folytatott szoros együttműködésük keretében a vállalkozás finanszírozza a műszaki karon a „Villamos tervezőrendszerek” tantárgyat és részt vesz annak oktatásában, meghatározásában. Az országban elsőként a PTE Műszaki és Informatikai Kara indított Tüzelőanyag-cella és hidrogéntechnológia szakmérnök/szakember szakirányú továbbképzést, a tananyag összeállításában, az oktatási eszközök kiválasztásában a kar együttműködik az országban egyedüliként a tüzelőanyag-cellák fejlesztésében 16 éves </w:t>
      </w:r>
      <w:r w:rsidRPr="00F315E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lastRenderedPageBreak/>
        <w:t>tapasztalatot szerzett vállalkozással. A KONTAKT-</w:t>
      </w:r>
      <w:proofErr w:type="spellStart"/>
      <w:r w:rsidRPr="00F315E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Elektro</w:t>
      </w:r>
      <w:proofErr w:type="spellEnd"/>
      <w:r w:rsidRPr="00F315E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saját hidrogénlaborral rendelkezik, amelyet az egyetemi szakmérnökképzés rendelkezésére bocsát, emellett segítséget nyújt a hidrogéntechnológiákat is magába foglaló „Megújuló Energiák Nemzeti Labor” létrehozásához. </w:t>
      </w:r>
      <w:proofErr w:type="spellStart"/>
      <w:r w:rsidRPr="00F315E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Hirth</w:t>
      </w:r>
      <w:proofErr w:type="spellEnd"/>
      <w:r w:rsidRPr="00F315E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Ferenc lokálpatriótaként sokat tett a városért, a benne élő emberekért is, ezt számos elismerés, és most a </w:t>
      </w:r>
      <w:proofErr w:type="spellStart"/>
      <w:r w:rsidRPr="00F315E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Tüke</w:t>
      </w:r>
      <w:proofErr w:type="spellEnd"/>
      <w:r w:rsidRPr="00F315E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-díj is visszaigazolja. </w:t>
      </w:r>
    </w:p>
    <w:p w14:paraId="23118AD6" w14:textId="77777777" w:rsidR="00F315E5" w:rsidRPr="00F315E5" w:rsidRDefault="00F315E5" w:rsidP="00F315E5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3969542F" w14:textId="77777777" w:rsidR="00624A1A" w:rsidRPr="00624A1A" w:rsidRDefault="00624A1A" w:rsidP="00624A1A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22FEA9FA" w14:textId="3EA00962" w:rsidR="006312E8" w:rsidRPr="001735FD" w:rsidRDefault="006312E8" w:rsidP="006312E8">
      <w:pPr>
        <w:spacing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1735FD">
        <w:rPr>
          <w:rFonts w:asciiTheme="minorHAnsi" w:hAnsiTheme="minorHAnsi" w:cstheme="minorHAnsi"/>
          <w:b/>
          <w:bCs/>
          <w:sz w:val="28"/>
          <w:szCs w:val="28"/>
        </w:rPr>
        <w:t>További információ:</w:t>
      </w:r>
    </w:p>
    <w:p w14:paraId="1ECBA028" w14:textId="37AA677D" w:rsidR="006312E8" w:rsidRPr="006312E8" w:rsidRDefault="00C71123" w:rsidP="006312E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Dr. Medvegy Gabriella, dékán</w:t>
      </w:r>
      <w:r w:rsidR="006312E8" w:rsidRPr="006312E8">
        <w:rPr>
          <w:rFonts w:asciiTheme="minorHAnsi" w:hAnsiTheme="minorHAnsi" w:cstheme="minorHAnsi"/>
          <w:sz w:val="22"/>
          <w:szCs w:val="22"/>
        </w:rPr>
        <w:t xml:space="preserve"> – PTE MIK</w:t>
      </w:r>
    </w:p>
    <w:p w14:paraId="04CBEB30" w14:textId="19668C3A" w:rsidR="006312E8" w:rsidRPr="006312E8" w:rsidRDefault="006312E8" w:rsidP="006312E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312E8">
        <w:rPr>
          <w:rFonts w:asciiTheme="minorHAnsi" w:hAnsiTheme="minorHAnsi" w:cstheme="minorHAnsi"/>
          <w:sz w:val="22"/>
          <w:szCs w:val="22"/>
        </w:rPr>
        <w:t xml:space="preserve">tel.: 0630 </w:t>
      </w:r>
      <w:r w:rsidR="00C71123">
        <w:rPr>
          <w:rFonts w:asciiTheme="minorHAnsi" w:hAnsiTheme="minorHAnsi" w:cstheme="minorHAnsi"/>
          <w:sz w:val="22"/>
          <w:szCs w:val="22"/>
        </w:rPr>
        <w:t>6061195</w:t>
      </w:r>
    </w:p>
    <w:p w14:paraId="2DC0C4EA" w14:textId="3226ECA8" w:rsidR="00991B0E" w:rsidRPr="006312E8" w:rsidRDefault="006312E8" w:rsidP="006312E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312E8">
        <w:rPr>
          <w:rFonts w:asciiTheme="minorHAnsi" w:hAnsiTheme="minorHAnsi" w:cstheme="minorHAnsi"/>
          <w:sz w:val="22"/>
          <w:szCs w:val="22"/>
        </w:rPr>
        <w:t xml:space="preserve">e-mail: </w:t>
      </w:r>
      <w:r w:rsidR="00C71123">
        <w:rPr>
          <w:rFonts w:asciiTheme="minorHAnsi" w:hAnsiTheme="minorHAnsi" w:cstheme="minorHAnsi"/>
          <w:sz w:val="22"/>
          <w:szCs w:val="22"/>
        </w:rPr>
        <w:t>medvegy.gabriella</w:t>
      </w:r>
      <w:r w:rsidRPr="006312E8">
        <w:rPr>
          <w:rFonts w:asciiTheme="minorHAnsi" w:hAnsiTheme="minorHAnsi" w:cstheme="minorHAnsi"/>
          <w:sz w:val="22"/>
          <w:szCs w:val="22"/>
        </w:rPr>
        <w:t>@</w:t>
      </w:r>
      <w:r w:rsidR="00C71123">
        <w:rPr>
          <w:rFonts w:asciiTheme="minorHAnsi" w:hAnsiTheme="minorHAnsi" w:cstheme="minorHAnsi"/>
          <w:sz w:val="22"/>
          <w:szCs w:val="22"/>
        </w:rPr>
        <w:t>mik.pte.hu</w:t>
      </w:r>
    </w:p>
    <w:sectPr w:rsidR="00991B0E" w:rsidRPr="006312E8" w:rsidSect="00971839">
      <w:headerReference w:type="default" r:id="rId7"/>
      <w:footerReference w:type="even" r:id="rId8"/>
      <w:footerReference w:type="default" r:id="rId9"/>
      <w:footnotePr>
        <w:pos w:val="beneathText"/>
      </w:footnotePr>
      <w:pgSz w:w="11905" w:h="16837"/>
      <w:pgMar w:top="126" w:right="848" w:bottom="1134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25C013" w14:textId="77777777" w:rsidR="00AA3AE4" w:rsidRDefault="00AA3AE4">
      <w:r>
        <w:separator/>
      </w:r>
    </w:p>
  </w:endnote>
  <w:endnote w:type="continuationSeparator" w:id="0">
    <w:p w14:paraId="5628A627" w14:textId="77777777" w:rsidR="00AA3AE4" w:rsidRDefault="00AA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G Mincho Light J">
    <w:altName w:val="Times New Roman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horndale">
    <w:altName w:val="Times New Roman"/>
    <w:charset w:val="00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altName w:val="Arial"/>
    <w:charset w:val="00"/>
    <w:family w:val="swiss"/>
    <w:pitch w:val="variable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73D59" w14:textId="77777777" w:rsidR="007C424A" w:rsidRDefault="007C424A" w:rsidP="00016A13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6EB973D8" w14:textId="77777777" w:rsidR="007C424A" w:rsidRDefault="007C424A" w:rsidP="00016A13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32D71" w14:textId="77777777" w:rsidR="00414D47" w:rsidRDefault="0054779A">
    <w:pPr>
      <w:pStyle w:val="llb"/>
    </w:pPr>
    <w:r>
      <w:rPr>
        <w:rFonts w:ascii="Verdana" w:hAnsi="Verdana" w:cs="Arial"/>
        <w:noProof/>
        <w:sz w:val="20"/>
      </w:rPr>
      <w:drawing>
        <wp:inline distT="0" distB="0" distL="0" distR="0" wp14:anchorId="6F7BD625" wp14:editId="7CD334E3">
          <wp:extent cx="2409825" cy="63817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232B67" w14:textId="77777777" w:rsidR="00414D47" w:rsidRDefault="00414D4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2F664D" w14:textId="77777777" w:rsidR="00AA3AE4" w:rsidRDefault="00AA3AE4">
      <w:r>
        <w:separator/>
      </w:r>
    </w:p>
  </w:footnote>
  <w:footnote w:type="continuationSeparator" w:id="0">
    <w:p w14:paraId="42894458" w14:textId="77777777" w:rsidR="00AA3AE4" w:rsidRDefault="00AA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E830C" w14:textId="77777777" w:rsidR="007C424A" w:rsidRDefault="0054779A" w:rsidP="00414D47">
    <w:pPr>
      <w:pStyle w:val="lfej"/>
      <w:tabs>
        <w:tab w:val="left" w:pos="6237"/>
        <w:tab w:val="left" w:pos="6379"/>
      </w:tabs>
    </w:pPr>
    <w:r>
      <w:rPr>
        <w:rFonts w:ascii="Verdana" w:hAnsi="Verdana"/>
        <w:b/>
        <w:noProof/>
        <w:sz w:val="22"/>
      </w:rPr>
      <w:drawing>
        <wp:inline distT="0" distB="0" distL="0" distR="0" wp14:anchorId="701ECECD" wp14:editId="68F08DC6">
          <wp:extent cx="2371725" cy="714375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D65434" w14:textId="77777777" w:rsidR="007C424A" w:rsidRDefault="007C424A" w:rsidP="004E7D4D">
    <w:pPr>
      <w:pStyle w:val="lfej"/>
      <w:tabs>
        <w:tab w:val="left" w:pos="595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Cmsor2"/>
      <w:suff w:val="nothing"/>
      <w:lvlText w:val=""/>
      <w:lvlJc w:val="left"/>
      <w:pPr>
        <w:ind w:left="0" w:firstLine="0"/>
      </w:pPr>
    </w:lvl>
    <w:lvl w:ilvl="2">
      <w:start w:val="1"/>
      <w:numFmt w:val="lowerRoman"/>
      <w:pStyle w:val="Cmsor3"/>
      <w:suff w:val="nothing"/>
      <w:lvlText w:val="%3."/>
      <w:lvlJc w:val="right"/>
      <w:pPr>
        <w:ind w:left="2160" w:hanging="18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Cmsor7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F661577"/>
    <w:multiLevelType w:val="hybridMultilevel"/>
    <w:tmpl w:val="659C71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F5B86"/>
    <w:multiLevelType w:val="hybridMultilevel"/>
    <w:tmpl w:val="2F86AB88"/>
    <w:lvl w:ilvl="0" w:tplc="EEF6F28A">
      <w:numFmt w:val="bullet"/>
      <w:lvlText w:val="-"/>
      <w:lvlJc w:val="left"/>
      <w:pPr>
        <w:ind w:left="1605" w:hanging="360"/>
      </w:pPr>
      <w:rPr>
        <w:rFonts w:ascii="Verdana" w:eastAsia="HG Mincho Light J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50"/>
  <w:autoHyphenation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85D"/>
    <w:rsid w:val="00002084"/>
    <w:rsid w:val="00012CF4"/>
    <w:rsid w:val="00016A13"/>
    <w:rsid w:val="00026131"/>
    <w:rsid w:val="00045F56"/>
    <w:rsid w:val="00060B52"/>
    <w:rsid w:val="000616BE"/>
    <w:rsid w:val="00064661"/>
    <w:rsid w:val="00076FCB"/>
    <w:rsid w:val="00091B28"/>
    <w:rsid w:val="00097C08"/>
    <w:rsid w:val="000A57E5"/>
    <w:rsid w:val="000A6E83"/>
    <w:rsid w:val="000A6FDA"/>
    <w:rsid w:val="000E40E1"/>
    <w:rsid w:val="000F5592"/>
    <w:rsid w:val="00106A10"/>
    <w:rsid w:val="001105F4"/>
    <w:rsid w:val="001142DA"/>
    <w:rsid w:val="0012155B"/>
    <w:rsid w:val="00124B74"/>
    <w:rsid w:val="00133D59"/>
    <w:rsid w:val="00143462"/>
    <w:rsid w:val="001735FD"/>
    <w:rsid w:val="001C69A3"/>
    <w:rsid w:val="001F36C0"/>
    <w:rsid w:val="002004BA"/>
    <w:rsid w:val="00203C0D"/>
    <w:rsid w:val="0022362D"/>
    <w:rsid w:val="0023509C"/>
    <w:rsid w:val="00252CA2"/>
    <w:rsid w:val="0027007C"/>
    <w:rsid w:val="00270105"/>
    <w:rsid w:val="00280068"/>
    <w:rsid w:val="00281FA5"/>
    <w:rsid w:val="002B7ADD"/>
    <w:rsid w:val="002B7F49"/>
    <w:rsid w:val="002C02D1"/>
    <w:rsid w:val="002C08D7"/>
    <w:rsid w:val="002C08F7"/>
    <w:rsid w:val="002C1A0F"/>
    <w:rsid w:val="002D42D9"/>
    <w:rsid w:val="002E3EA2"/>
    <w:rsid w:val="002E4D23"/>
    <w:rsid w:val="002E50FF"/>
    <w:rsid w:val="002E5665"/>
    <w:rsid w:val="0030099C"/>
    <w:rsid w:val="003059D0"/>
    <w:rsid w:val="00306592"/>
    <w:rsid w:val="0031138D"/>
    <w:rsid w:val="00323318"/>
    <w:rsid w:val="0032380C"/>
    <w:rsid w:val="003505AB"/>
    <w:rsid w:val="00363D83"/>
    <w:rsid w:val="003943B8"/>
    <w:rsid w:val="00394A87"/>
    <w:rsid w:val="00394C7A"/>
    <w:rsid w:val="003A2EA2"/>
    <w:rsid w:val="003B6D55"/>
    <w:rsid w:val="003C10DC"/>
    <w:rsid w:val="003D144C"/>
    <w:rsid w:val="003E2766"/>
    <w:rsid w:val="003E4760"/>
    <w:rsid w:val="003F30F9"/>
    <w:rsid w:val="00414D47"/>
    <w:rsid w:val="00420DA9"/>
    <w:rsid w:val="00422F7E"/>
    <w:rsid w:val="00425258"/>
    <w:rsid w:val="00431815"/>
    <w:rsid w:val="00434A38"/>
    <w:rsid w:val="0043770A"/>
    <w:rsid w:val="00445C9F"/>
    <w:rsid w:val="0045077C"/>
    <w:rsid w:val="0045077D"/>
    <w:rsid w:val="00466B4D"/>
    <w:rsid w:val="004851EB"/>
    <w:rsid w:val="004C4BC9"/>
    <w:rsid w:val="004D005E"/>
    <w:rsid w:val="004D277A"/>
    <w:rsid w:val="004E7D4D"/>
    <w:rsid w:val="004F6695"/>
    <w:rsid w:val="00506F26"/>
    <w:rsid w:val="0052318B"/>
    <w:rsid w:val="0053185D"/>
    <w:rsid w:val="0054779A"/>
    <w:rsid w:val="005642BE"/>
    <w:rsid w:val="00565666"/>
    <w:rsid w:val="00585A0E"/>
    <w:rsid w:val="00595B85"/>
    <w:rsid w:val="005B240A"/>
    <w:rsid w:val="005D4A3F"/>
    <w:rsid w:val="005E0970"/>
    <w:rsid w:val="0060064B"/>
    <w:rsid w:val="00605FF7"/>
    <w:rsid w:val="0061332E"/>
    <w:rsid w:val="00624A1A"/>
    <w:rsid w:val="00625297"/>
    <w:rsid w:val="006312E8"/>
    <w:rsid w:val="00641A1C"/>
    <w:rsid w:val="00674DD7"/>
    <w:rsid w:val="00681103"/>
    <w:rsid w:val="006B0025"/>
    <w:rsid w:val="006C508B"/>
    <w:rsid w:val="006D7241"/>
    <w:rsid w:val="006F4C11"/>
    <w:rsid w:val="006F4D4D"/>
    <w:rsid w:val="007104A2"/>
    <w:rsid w:val="00736380"/>
    <w:rsid w:val="0077255B"/>
    <w:rsid w:val="00774F31"/>
    <w:rsid w:val="007A47AD"/>
    <w:rsid w:val="007C424A"/>
    <w:rsid w:val="007C4EA3"/>
    <w:rsid w:val="007F20CB"/>
    <w:rsid w:val="00843A80"/>
    <w:rsid w:val="008461FC"/>
    <w:rsid w:val="00854848"/>
    <w:rsid w:val="00867E7C"/>
    <w:rsid w:val="008736BC"/>
    <w:rsid w:val="00882098"/>
    <w:rsid w:val="0088672E"/>
    <w:rsid w:val="00892AF3"/>
    <w:rsid w:val="008951FD"/>
    <w:rsid w:val="00897968"/>
    <w:rsid w:val="008A6FD5"/>
    <w:rsid w:val="008B283A"/>
    <w:rsid w:val="008B5E35"/>
    <w:rsid w:val="008E328F"/>
    <w:rsid w:val="008E381D"/>
    <w:rsid w:val="0093513E"/>
    <w:rsid w:val="00957692"/>
    <w:rsid w:val="00971839"/>
    <w:rsid w:val="00991B0E"/>
    <w:rsid w:val="00992F35"/>
    <w:rsid w:val="009C2B08"/>
    <w:rsid w:val="009D5B32"/>
    <w:rsid w:val="009E0CDC"/>
    <w:rsid w:val="00A224A5"/>
    <w:rsid w:val="00A27A79"/>
    <w:rsid w:val="00A34B01"/>
    <w:rsid w:val="00A36E29"/>
    <w:rsid w:val="00AA3AE4"/>
    <w:rsid w:val="00AF607A"/>
    <w:rsid w:val="00B16162"/>
    <w:rsid w:val="00B22164"/>
    <w:rsid w:val="00B5375C"/>
    <w:rsid w:val="00B6364C"/>
    <w:rsid w:val="00BE03B1"/>
    <w:rsid w:val="00BF14B3"/>
    <w:rsid w:val="00C02334"/>
    <w:rsid w:val="00C6282C"/>
    <w:rsid w:val="00C71123"/>
    <w:rsid w:val="00C8358E"/>
    <w:rsid w:val="00C87D0B"/>
    <w:rsid w:val="00C927DD"/>
    <w:rsid w:val="00CA31AB"/>
    <w:rsid w:val="00CA3481"/>
    <w:rsid w:val="00CC5B3D"/>
    <w:rsid w:val="00CC5E04"/>
    <w:rsid w:val="00CD38B5"/>
    <w:rsid w:val="00CF121A"/>
    <w:rsid w:val="00CF2806"/>
    <w:rsid w:val="00D133A2"/>
    <w:rsid w:val="00D37031"/>
    <w:rsid w:val="00D370B0"/>
    <w:rsid w:val="00D72F79"/>
    <w:rsid w:val="00D7476D"/>
    <w:rsid w:val="00D80CC5"/>
    <w:rsid w:val="00DA158E"/>
    <w:rsid w:val="00DA7F43"/>
    <w:rsid w:val="00DF2FEF"/>
    <w:rsid w:val="00E465AE"/>
    <w:rsid w:val="00E46853"/>
    <w:rsid w:val="00E60077"/>
    <w:rsid w:val="00E6602B"/>
    <w:rsid w:val="00EC7D13"/>
    <w:rsid w:val="00ED58AF"/>
    <w:rsid w:val="00ED7BB3"/>
    <w:rsid w:val="00F11559"/>
    <w:rsid w:val="00F1526E"/>
    <w:rsid w:val="00F315E5"/>
    <w:rsid w:val="00F371CC"/>
    <w:rsid w:val="00F4504D"/>
    <w:rsid w:val="00F5414C"/>
    <w:rsid w:val="00F55558"/>
    <w:rsid w:val="00F91181"/>
    <w:rsid w:val="00F94A1F"/>
    <w:rsid w:val="00FE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085C87"/>
  <w15:chartTrackingRefBased/>
  <w15:docId w15:val="{F0FB3399-5B23-431B-8205-F437FEC2E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widowControl w:val="0"/>
      <w:suppressAutoHyphens/>
    </w:pPr>
    <w:rPr>
      <w:rFonts w:ascii="Thorndale" w:eastAsia="HG Mincho Light J" w:hAnsi="Thorndale"/>
      <w:color w:val="000000"/>
      <w:sz w:val="24"/>
    </w:rPr>
  </w:style>
  <w:style w:type="paragraph" w:styleId="Cmsor1">
    <w:name w:val="heading 1"/>
    <w:basedOn w:val="Norml"/>
    <w:next w:val="Norml"/>
    <w:qFormat/>
    <w:pPr>
      <w:keepNext/>
      <w:numPr>
        <w:numId w:val="1"/>
      </w:numPr>
      <w:outlineLvl w:val="0"/>
    </w:pPr>
    <w:rPr>
      <w:rFonts w:ascii="Tahoma" w:hAnsi="Tahoma"/>
      <w:b/>
      <w:sz w:val="84"/>
    </w:rPr>
  </w:style>
  <w:style w:type="paragraph" w:styleId="Cmsor2">
    <w:name w:val="heading 2"/>
    <w:basedOn w:val="Norml"/>
    <w:next w:val="Norml"/>
    <w:qFormat/>
    <w:pPr>
      <w:keepNext/>
      <w:numPr>
        <w:ilvl w:val="1"/>
        <w:numId w:val="1"/>
      </w:numPr>
      <w:outlineLvl w:val="1"/>
    </w:pPr>
    <w:rPr>
      <w:rFonts w:ascii="Tahoma" w:hAnsi="Tahoma"/>
      <w:i/>
      <w:sz w:val="14"/>
    </w:rPr>
  </w:style>
  <w:style w:type="paragraph" w:styleId="Cmsor3">
    <w:name w:val="heading 3"/>
    <w:basedOn w:val="Norml"/>
    <w:next w:val="Norml"/>
    <w:qFormat/>
    <w:pPr>
      <w:keepNext/>
      <w:numPr>
        <w:ilvl w:val="2"/>
        <w:numId w:val="1"/>
      </w:numPr>
      <w:tabs>
        <w:tab w:val="right" w:pos="5607"/>
      </w:tabs>
      <w:spacing w:line="360" w:lineRule="auto"/>
      <w:ind w:left="2727"/>
      <w:jc w:val="both"/>
      <w:outlineLvl w:val="2"/>
    </w:pPr>
    <w:rPr>
      <w:rFonts w:ascii="Times New Roman" w:hAnsi="Times New Roman"/>
      <w:b/>
    </w:rPr>
  </w:style>
  <w:style w:type="paragraph" w:styleId="Cmsor7">
    <w:name w:val="heading 7"/>
    <w:basedOn w:val="Norml"/>
    <w:next w:val="Norml"/>
    <w:qFormat/>
    <w:pPr>
      <w:keepNext/>
      <w:widowControl/>
      <w:numPr>
        <w:ilvl w:val="6"/>
        <w:numId w:val="1"/>
      </w:numPr>
      <w:suppressAutoHyphens w:val="0"/>
      <w:outlineLvl w:val="6"/>
    </w:pPr>
    <w:rPr>
      <w:rFonts w:ascii="Tahoma" w:hAnsi="Tahoma"/>
      <w:i/>
      <w:color w:val="C0C0C0"/>
      <w:kern w:val="20481"/>
      <w:sz w:val="16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-Bekezdsalap-bettpusa">
    <w:name w:val="WW-Bekezdés alap-betűtípusa"/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Albany" w:hAnsi="Albany"/>
      <w:sz w:val="28"/>
    </w:rPr>
  </w:style>
  <w:style w:type="paragraph" w:styleId="Szvegtrzs">
    <w:name w:val="Body Text"/>
    <w:basedOn w:val="Norml"/>
    <w:pPr>
      <w:spacing w:after="220" w:line="180" w:lineRule="atLeast"/>
      <w:jc w:val="both"/>
    </w:pPr>
    <w:rPr>
      <w:rFonts w:ascii="Arial" w:hAnsi="Arial"/>
      <w:spacing w:val="-5"/>
    </w:rPr>
  </w:style>
  <w:style w:type="paragraph" w:customStyle="1" w:styleId="Tblzattartalom">
    <w:name w:val="Táblázattartalom"/>
    <w:basedOn w:val="Szvegtrzs"/>
    <w:pPr>
      <w:suppressLineNumbers/>
    </w:pPr>
  </w:style>
  <w:style w:type="paragraph" w:customStyle="1" w:styleId="Kerettartalom">
    <w:name w:val="Kerettartalom"/>
    <w:basedOn w:val="Szvegtrzs"/>
  </w:style>
  <w:style w:type="paragraph" w:customStyle="1" w:styleId="Vzszintesvonal">
    <w:name w:val="Vízszintes vonal"/>
    <w:basedOn w:val="Norml"/>
    <w:next w:val="Szvegtrzs"/>
    <w:pPr>
      <w:suppressLineNumbers/>
      <w:pBdr>
        <w:bottom w:val="double" w:sz="1" w:space="0" w:color="808080"/>
      </w:pBdr>
      <w:spacing w:after="283"/>
    </w:pPr>
    <w:rPr>
      <w:sz w:val="12"/>
    </w:rPr>
  </w:style>
  <w:style w:type="paragraph" w:customStyle="1" w:styleId="Cmsoralap">
    <w:name w:val="Címsor alap"/>
    <w:basedOn w:val="Szvegtrzs"/>
    <w:next w:val="Szvegtrzs"/>
    <w:pPr>
      <w:keepNext/>
      <w:keepLines/>
      <w:spacing w:after="0"/>
      <w:jc w:val="left"/>
    </w:pPr>
    <w:rPr>
      <w:rFonts w:ascii="Arial Black" w:hAnsi="Arial Black"/>
      <w:spacing w:val="-10"/>
    </w:rPr>
  </w:style>
  <w:style w:type="paragraph" w:customStyle="1" w:styleId="Tblzatfejlc">
    <w:name w:val="Táblázatfejléc"/>
    <w:basedOn w:val="Tblzattartalom"/>
    <w:pPr>
      <w:jc w:val="center"/>
    </w:pPr>
    <w:rPr>
      <w:b/>
      <w:i/>
    </w:rPr>
  </w:style>
  <w:style w:type="character" w:styleId="Hiperhivatkozs">
    <w:name w:val="Hyperlink"/>
    <w:rPr>
      <w:color w:val="0000FF"/>
      <w:u w:val="single"/>
    </w:rPr>
  </w:style>
  <w:style w:type="paragraph" w:styleId="Szvegtrzs2">
    <w:name w:val="Body Text 2"/>
    <w:basedOn w:val="Norml"/>
    <w:rPr>
      <w:rFonts w:ascii="Times New Roman" w:hAnsi="Times New Roman"/>
      <w:sz w:val="22"/>
    </w:rPr>
  </w:style>
  <w:style w:type="paragraph" w:styleId="llb">
    <w:name w:val="footer"/>
    <w:basedOn w:val="Norml"/>
    <w:link w:val="llbChar"/>
    <w:uiPriority w:val="99"/>
    <w:rsid w:val="00016A13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016A13"/>
  </w:style>
  <w:style w:type="paragraph" w:styleId="lfej">
    <w:name w:val="header"/>
    <w:basedOn w:val="Norml"/>
    <w:link w:val="lfejChar"/>
    <w:uiPriority w:val="99"/>
    <w:rsid w:val="00016A13"/>
    <w:pPr>
      <w:tabs>
        <w:tab w:val="center" w:pos="4536"/>
        <w:tab w:val="right" w:pos="9072"/>
      </w:tabs>
    </w:pPr>
  </w:style>
  <w:style w:type="paragraph" w:styleId="NormlWeb">
    <w:name w:val="Normal (Web)"/>
    <w:basedOn w:val="Norml"/>
    <w:uiPriority w:val="99"/>
    <w:semiHidden/>
    <w:unhideWhenUsed/>
    <w:rsid w:val="007A47A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character" w:customStyle="1" w:styleId="lfejChar">
    <w:name w:val="Élőfej Char"/>
    <w:link w:val="lfej"/>
    <w:uiPriority w:val="99"/>
    <w:rsid w:val="007F20CB"/>
    <w:rPr>
      <w:rFonts w:ascii="Thorndale" w:eastAsia="HG Mincho Light J" w:hAnsi="Thorndale"/>
      <w:color w:val="000000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F20C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7F20CB"/>
    <w:rPr>
      <w:rFonts w:ascii="Tahoma" w:eastAsia="HG Mincho Light J" w:hAnsi="Tahoma" w:cs="Tahoma"/>
      <w:color w:val="000000"/>
      <w:sz w:val="16"/>
      <w:szCs w:val="16"/>
    </w:rPr>
  </w:style>
  <w:style w:type="character" w:customStyle="1" w:styleId="llbChar">
    <w:name w:val="Élőláb Char"/>
    <w:link w:val="llb"/>
    <w:uiPriority w:val="99"/>
    <w:rsid w:val="00414D47"/>
    <w:rPr>
      <w:rFonts w:ascii="Thorndale" w:eastAsia="HG Mincho Light J" w:hAnsi="Thorndale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5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0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4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523</Words>
  <Characters>3659</Characters>
  <Application>Microsoft Office Word</Application>
  <DocSecurity>0</DocSecurity>
  <Lines>55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FAX</vt:lpstr>
    </vt:vector>
  </TitlesOfParts>
  <Company>Ferling PR</Company>
  <LinksUpToDate>false</LinksUpToDate>
  <CharactersWithSpaces>4173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</dc:title>
  <dc:subject/>
  <dc:creator>ferling</dc:creator>
  <cp:keywords/>
  <cp:lastModifiedBy>Kis Tünde</cp:lastModifiedBy>
  <cp:revision>2</cp:revision>
  <cp:lastPrinted>2003-07-24T12:44:00Z</cp:lastPrinted>
  <dcterms:created xsi:type="dcterms:W3CDTF">2022-03-30T12:51:00Z</dcterms:created>
  <dcterms:modified xsi:type="dcterms:W3CDTF">2022-03-30T12:51:00Z</dcterms:modified>
</cp:coreProperties>
</file>