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AA19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02537C58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7D5E7CD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42A8748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2E949D8A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166C7C72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AEED590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1783DF57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78C455E0" w14:textId="4F471BEE" w:rsidR="00803C6A" w:rsidRDefault="00E84A76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E84A76">
        <w:rPr>
          <w:rFonts w:ascii="Arial" w:hAnsi="Arial" w:cs="Arial"/>
          <w:b/>
          <w:sz w:val="28"/>
          <w:szCs w:val="28"/>
        </w:rPr>
        <w:t>Sikeresen zárult a felsőoktatásba való integrálást segítő pályázat a Pécsi Tudományegyetemen</w:t>
      </w:r>
    </w:p>
    <w:p w14:paraId="760762BB" w14:textId="77777777" w:rsidR="00E84A76" w:rsidRPr="00D973F1" w:rsidRDefault="00E84A76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135ED63E" w14:textId="77777777"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384DD3E7" w14:textId="4AA3A25A" w:rsidR="00D973F1" w:rsidRPr="00803C6A" w:rsidRDefault="00E84A76" w:rsidP="00D973F1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2022.10.2</w:t>
      </w:r>
      <w:r w:rsidR="000923BF">
        <w:rPr>
          <w:rFonts w:ascii="Arial" w:hAnsi="Arial" w:cs="Arial"/>
          <w:b/>
          <w:color w:val="333399"/>
          <w:sz w:val="20"/>
          <w:szCs w:val="20"/>
        </w:rPr>
        <w:t>5.</w:t>
      </w:r>
    </w:p>
    <w:p w14:paraId="1CC7146B" w14:textId="77777777" w:rsidR="00803C6A" w:rsidRDefault="00803C6A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3AA9D84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0DB2969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432DC" wp14:editId="016F841A">
                <wp:simplePos x="0" y="0"/>
                <wp:positionH relativeFrom="margin">
                  <wp:align>left</wp:align>
                </wp:positionH>
                <wp:positionV relativeFrom="paragraph">
                  <wp:posOffset>32357</wp:posOffset>
                </wp:positionV>
                <wp:extent cx="5838825" cy="1009816"/>
                <wp:effectExtent l="0" t="0" r="28575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009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2E2AD" w14:textId="56F834D9" w:rsidR="00D973F1" w:rsidRPr="00D973F1" w:rsidRDefault="00C91CB1" w:rsidP="00507748">
                            <w:pPr>
                              <w:pStyle w:val="Nincstrkz"/>
                              <w:jc w:val="both"/>
                            </w:pPr>
                            <w:r w:rsidRPr="00C91CB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Megvalósítási időszakának végéhez érkezett a Pécsi Tudományegyetem és a Neumann János Számítógéptudományi Társaság konzorciumában megvalósított, EFOP-3.4.4-16-2017-00004 kódszámú „A felsőoktatásba való bekerülést elősegítő készségfejlesztő és kommunikációs programok megvalósítása, valamint az MTMI szakok népszerűsítése a Pécsi Tudományegyetemen" című pályázat. A projekt 788,75 millió forint európai uniós támogatás segítségével, a Széchenyi 2020 program keretében valósult meg.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432DC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0;margin-top:2.55pt;width:459.75pt;height:7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" fillcolor="white [3201]" strokeweight=".5pt">
                <v:textbox>
                  <w:txbxContent>
                    <w:p w14:paraId="0992E2AD" w14:textId="56F834D9" w:rsidR="00D973F1" w:rsidRPr="00D973F1" w:rsidRDefault="00C91CB1" w:rsidP="00507748">
                      <w:pPr>
                        <w:pStyle w:val="Nincstrkz"/>
                        <w:jc w:val="both"/>
                      </w:pPr>
                      <w:r w:rsidRPr="00C91CB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Megvalósítási időszakának végéhez érkezett a Pécsi Tudományegyetem és a Neumann János Számítógéptudományi Társaság konzorciumában megvalósított, EFOP-3.4.4-16-2017-00004 kódszámú „A felsőoktatásba való bekerülést elősegítő készségfejlesztő és kommunikációs programok megvalósítása, valamint az MTMI szakok népszerűsítése a Pécsi Tudományegyetemen" című pályázat. A projekt 788,75 millió forint európai uniós támogatás segítségével, a Széchenyi 2020 program keretében valósult meg.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D0602A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F05D584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7DDD13DF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55059EF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1696EC7C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6FB0F8A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3AAD604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0F60641B" w14:textId="2DB9F21F" w:rsidR="00E84A76" w:rsidRPr="00E84A76" w:rsidRDefault="00E84A76" w:rsidP="00E84A76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4A76">
        <w:rPr>
          <w:rFonts w:ascii="Arial" w:hAnsi="Arial" w:cs="Arial"/>
          <w:sz w:val="20"/>
          <w:szCs w:val="20"/>
        </w:rPr>
        <w:t xml:space="preserve">A projekt kiemelt céljaként fogalmazódott meg, hogy a diákok már középiskolai tanulmányaik során olyan új ismeretekhez jussanak, amelyekre a formális tanulás keretei között nincs lehetőségük, és a felsőoktatás felé orientálódjanak. </w:t>
      </w:r>
      <w:r w:rsidR="000923BF">
        <w:rPr>
          <w:rFonts w:ascii="Arial" w:hAnsi="Arial" w:cs="Arial"/>
          <w:sz w:val="20"/>
          <w:szCs w:val="20"/>
        </w:rPr>
        <w:t>Ezt a célt szolgálta</w:t>
      </w:r>
      <w:r w:rsidRPr="00E84A76">
        <w:rPr>
          <w:rFonts w:ascii="Arial" w:hAnsi="Arial" w:cs="Arial"/>
          <w:sz w:val="20"/>
          <w:szCs w:val="20"/>
        </w:rPr>
        <w:t xml:space="preserve"> a több mint 100 speciális esemény, </w:t>
      </w:r>
      <w:r w:rsidR="000923BF">
        <w:rPr>
          <w:rFonts w:ascii="Arial" w:hAnsi="Arial" w:cs="Arial"/>
          <w:sz w:val="20"/>
          <w:szCs w:val="20"/>
        </w:rPr>
        <w:t xml:space="preserve">a </w:t>
      </w:r>
      <w:r w:rsidRPr="00E84A76">
        <w:rPr>
          <w:rFonts w:ascii="Arial" w:hAnsi="Arial" w:cs="Arial"/>
          <w:sz w:val="20"/>
          <w:szCs w:val="20"/>
        </w:rPr>
        <w:t>pályaorientációs napok, szakkörök, felkészítők, táborok. A pályázati forrás hasznos felhasználásában a Pécsi Tudományegyetem három intézménye, a Természettudományi, a Műszaki és Informatikai, valamint a Kultúratudományi, Pedagógusképző és Vidékfejlesztési Kar vettek részt</w:t>
      </w:r>
      <w:r w:rsidR="00C91CB1">
        <w:rPr>
          <w:rFonts w:ascii="Arial" w:hAnsi="Arial" w:cs="Arial"/>
          <w:sz w:val="20"/>
          <w:szCs w:val="20"/>
        </w:rPr>
        <w:t>.</w:t>
      </w:r>
    </w:p>
    <w:p w14:paraId="7FED0D36" w14:textId="77777777" w:rsidR="00E84A76" w:rsidRPr="00E84A76" w:rsidRDefault="00E84A76" w:rsidP="00E84A76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65151F" w14:textId="35F657F4" w:rsidR="00E84A76" w:rsidRPr="00E84A76" w:rsidRDefault="00E84A76" w:rsidP="00E84A76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84A76">
        <w:rPr>
          <w:rFonts w:ascii="Arial" w:hAnsi="Arial" w:cs="Arial"/>
          <w:sz w:val="20"/>
          <w:szCs w:val="20"/>
        </w:rPr>
        <w:t>Trócsányi</w:t>
      </w:r>
      <w:proofErr w:type="spellEnd"/>
      <w:r w:rsidRPr="00E84A76">
        <w:rPr>
          <w:rFonts w:ascii="Arial" w:hAnsi="Arial" w:cs="Arial"/>
          <w:sz w:val="20"/>
          <w:szCs w:val="20"/>
        </w:rPr>
        <w:t xml:space="preserve"> András szakmai vezető </w:t>
      </w:r>
      <w:r w:rsidR="000923BF">
        <w:rPr>
          <w:rFonts w:ascii="Arial" w:hAnsi="Arial" w:cs="Arial"/>
          <w:sz w:val="20"/>
          <w:szCs w:val="20"/>
        </w:rPr>
        <w:t>a projekt kapcsán elmondta</w:t>
      </w:r>
      <w:r w:rsidRPr="00E84A76">
        <w:rPr>
          <w:rFonts w:ascii="Arial" w:hAnsi="Arial" w:cs="Arial"/>
          <w:sz w:val="20"/>
          <w:szCs w:val="20"/>
        </w:rPr>
        <w:t>:</w:t>
      </w:r>
      <w:r w:rsidR="000923BF">
        <w:rPr>
          <w:rFonts w:ascii="Arial" w:hAnsi="Arial" w:cs="Arial"/>
          <w:sz w:val="20"/>
          <w:szCs w:val="20"/>
        </w:rPr>
        <w:t xml:space="preserve"> „</w:t>
      </w:r>
      <w:r w:rsidRPr="00E84A76">
        <w:rPr>
          <w:rFonts w:ascii="Arial" w:hAnsi="Arial" w:cs="Arial"/>
          <w:sz w:val="20"/>
          <w:szCs w:val="20"/>
        </w:rPr>
        <w:t>A pályázat során hangsúlyos volt, hogy a matematikai, természettudományos, műszaki vagy informatikai, úgynevezett MTMI képzésekre felhívjuk az egyetemre jelentkező hallgatók figyelmét. Ezzel nemcsak a PTE hallgatói létszámát szerettük volna növelni, hanem a térség jövőbeli munkaerőpiaci igényeit is segítjük kielégíteni. A konstrukció támogatott tevékenységei hozzájárultak ahhoz, hogy minden tanuló a képességeinek és lehetőségeinek megfelelő, értékes és korszerű tudásra tegyen szert. Ezen felül stratégiai kapcsolatokat, valamint együttműködési megállapodásokat kötöttünk 35 partnerintézménnyel és céggel, továbbá számtalan középiskolával is, ami garancia tevékenységünk folytatására</w:t>
      </w:r>
      <w:r w:rsidR="00695F8C">
        <w:rPr>
          <w:rFonts w:ascii="Arial" w:hAnsi="Arial" w:cs="Arial"/>
          <w:sz w:val="20"/>
          <w:szCs w:val="20"/>
        </w:rPr>
        <w:t xml:space="preserve">. </w:t>
      </w:r>
      <w:r w:rsidR="00695F8C" w:rsidRPr="00E84A76">
        <w:rPr>
          <w:rFonts w:ascii="Arial" w:hAnsi="Arial" w:cs="Arial"/>
          <w:sz w:val="20"/>
          <w:szCs w:val="20"/>
        </w:rPr>
        <w:t>Összességében elmondható, hogy a pályázat tervezésekor megfogalmazott célok megvalósultak, a projekt által biztosított lehetőségeket maximálisan használta ki a Pécsi Tudományegyetem”</w:t>
      </w:r>
      <w:r w:rsidR="00695F8C">
        <w:rPr>
          <w:rFonts w:ascii="Arial" w:hAnsi="Arial" w:cs="Arial"/>
          <w:sz w:val="20"/>
          <w:szCs w:val="20"/>
        </w:rPr>
        <w:t xml:space="preserve"> – hangsúlyozta </w:t>
      </w:r>
      <w:proofErr w:type="spellStart"/>
      <w:r w:rsidR="00695F8C">
        <w:rPr>
          <w:rFonts w:ascii="Arial" w:hAnsi="Arial" w:cs="Arial"/>
          <w:sz w:val="20"/>
          <w:szCs w:val="20"/>
        </w:rPr>
        <w:t>Trócsányi</w:t>
      </w:r>
      <w:proofErr w:type="spellEnd"/>
      <w:r w:rsidR="00695F8C">
        <w:rPr>
          <w:rFonts w:ascii="Arial" w:hAnsi="Arial" w:cs="Arial"/>
          <w:sz w:val="20"/>
          <w:szCs w:val="20"/>
        </w:rPr>
        <w:t xml:space="preserve"> András.</w:t>
      </w:r>
    </w:p>
    <w:p w14:paraId="172E4141" w14:textId="77777777" w:rsidR="000923BF" w:rsidRDefault="000923BF" w:rsidP="00E84A76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E8B07A" w14:textId="46C70067" w:rsidR="00E84A76" w:rsidRDefault="00E84A76" w:rsidP="00E84A76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F10BFB" w14:textId="056DE296" w:rsidR="00E84A76" w:rsidRDefault="00E84A76" w:rsidP="00E84A76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projektről bővebb információt a </w:t>
      </w:r>
      <w:hyperlink r:id="rId6" w:history="1">
        <w:r w:rsidRPr="00CF3BDE">
          <w:rPr>
            <w:rStyle w:val="Hiperhivatkozs"/>
          </w:rPr>
          <w:t>https://projektek.pte.hu/hu/hazai/europai-szocialis-alap/efop-344-16-2017-00004</w:t>
        </w:r>
      </w:hyperlink>
      <w:r>
        <w:t xml:space="preserve"> </w:t>
      </w:r>
      <w:r>
        <w:rPr>
          <w:rFonts w:ascii="Arial" w:hAnsi="Arial" w:cs="Arial"/>
          <w:sz w:val="20"/>
          <w:szCs w:val="20"/>
        </w:rPr>
        <w:t xml:space="preserve"> oldalon olvashatnak.</w:t>
      </w:r>
    </w:p>
    <w:p w14:paraId="5B673F37" w14:textId="77777777" w:rsidR="00E84A76" w:rsidRDefault="00E84A76" w:rsidP="00E84A76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83BE9" w14:textId="77777777" w:rsidR="00695F8C" w:rsidRDefault="00695F8C" w:rsidP="0041411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</w:p>
    <w:p w14:paraId="3A88A93A" w14:textId="406F5AE5" w:rsidR="00414117" w:rsidRPr="00803C6A" w:rsidRDefault="00414117" w:rsidP="0041411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 w:rsidRPr="00803C6A">
        <w:rPr>
          <w:rFonts w:ascii="Arial" w:hAnsi="Arial" w:cs="Arial"/>
          <w:b/>
          <w:color w:val="333399"/>
          <w:sz w:val="20"/>
          <w:szCs w:val="20"/>
        </w:rPr>
        <w:t>További információ kérhető:</w:t>
      </w:r>
    </w:p>
    <w:p w14:paraId="27D0EEB6" w14:textId="77777777" w:rsidR="00414117" w:rsidRDefault="00414117" w:rsidP="0041411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5629163" w14:textId="7FD00DF3" w:rsidR="00414117" w:rsidRDefault="00414117" w:rsidP="0041411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Hargitai-Kiss Krisztián</w:t>
      </w:r>
    </w:p>
    <w:p w14:paraId="6BB40CED" w14:textId="30901009" w:rsidR="00414117" w:rsidRDefault="00414117" w:rsidP="0041411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projektmenedzser</w:t>
      </w:r>
    </w:p>
    <w:p w14:paraId="21C405E2" w14:textId="4F9E7F8F" w:rsidR="00414117" w:rsidRDefault="00000000" w:rsidP="00414117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414117" w:rsidRPr="00CF3BDE">
          <w:rPr>
            <w:rStyle w:val="Hiperhivatkozs"/>
            <w:rFonts w:ascii="Arial" w:hAnsi="Arial" w:cs="Arial"/>
            <w:sz w:val="20"/>
            <w:szCs w:val="20"/>
          </w:rPr>
          <w:t>kiss.krisztian@pte.hu</w:t>
        </w:r>
      </w:hyperlink>
    </w:p>
    <w:p w14:paraId="28C57790" w14:textId="59C5F36E" w:rsidR="00414117" w:rsidRPr="00414117" w:rsidRDefault="0041411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+36 30 354-7269</w:t>
      </w:r>
    </w:p>
    <w:sectPr w:rsidR="00414117" w:rsidRPr="004141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B2F4" w14:textId="77777777" w:rsidR="003B5EBE" w:rsidRDefault="003B5EBE" w:rsidP="00D973F1">
      <w:pPr>
        <w:spacing w:after="0" w:line="240" w:lineRule="auto"/>
      </w:pPr>
      <w:r>
        <w:separator/>
      </w:r>
    </w:p>
  </w:endnote>
  <w:endnote w:type="continuationSeparator" w:id="0">
    <w:p w14:paraId="7ABA2D38" w14:textId="77777777" w:rsidR="003B5EBE" w:rsidRDefault="003B5EBE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682A" w14:textId="77777777" w:rsidR="003B5EBE" w:rsidRDefault="003B5EBE" w:rsidP="00D973F1">
      <w:pPr>
        <w:spacing w:after="0" w:line="240" w:lineRule="auto"/>
      </w:pPr>
      <w:r>
        <w:separator/>
      </w:r>
    </w:p>
  </w:footnote>
  <w:footnote w:type="continuationSeparator" w:id="0">
    <w:p w14:paraId="2A467818" w14:textId="77777777" w:rsidR="003B5EBE" w:rsidRDefault="003B5EBE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3A52" w14:textId="77777777" w:rsidR="00D973F1" w:rsidRDefault="00E5514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5EBC5E" wp14:editId="616D164C">
          <wp:simplePos x="0" y="0"/>
          <wp:positionH relativeFrom="column">
            <wp:posOffset>3448685</wp:posOffset>
          </wp:positionH>
          <wp:positionV relativeFrom="paragraph">
            <wp:posOffset>-449580</wp:posOffset>
          </wp:positionV>
          <wp:extent cx="3199765" cy="2209800"/>
          <wp:effectExtent l="0" t="0" r="63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976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923BF"/>
    <w:rsid w:val="00120587"/>
    <w:rsid w:val="003B5EBE"/>
    <w:rsid w:val="00414117"/>
    <w:rsid w:val="004802AD"/>
    <w:rsid w:val="00507748"/>
    <w:rsid w:val="005D50F0"/>
    <w:rsid w:val="00695F8C"/>
    <w:rsid w:val="00803C6A"/>
    <w:rsid w:val="00907A77"/>
    <w:rsid w:val="00AB40F3"/>
    <w:rsid w:val="00B55BDD"/>
    <w:rsid w:val="00C91CB1"/>
    <w:rsid w:val="00CB4E9F"/>
    <w:rsid w:val="00D973F1"/>
    <w:rsid w:val="00DE5D97"/>
    <w:rsid w:val="00E5514A"/>
    <w:rsid w:val="00E84A76"/>
    <w:rsid w:val="00EC4302"/>
    <w:rsid w:val="00F0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49AEE"/>
  <w15:docId w15:val="{829EB052-0288-4CB8-BE23-76FC5157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8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ss.krisztian@p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jektek.pte.hu/hu/hazai/europai-szocialis-alap/efop-344-16-2017-000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Kottász Gergely</cp:lastModifiedBy>
  <cp:revision>5</cp:revision>
  <dcterms:created xsi:type="dcterms:W3CDTF">2022-10-25T06:01:00Z</dcterms:created>
  <dcterms:modified xsi:type="dcterms:W3CDTF">2022-10-25T06:31:00Z</dcterms:modified>
</cp:coreProperties>
</file>