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8652" w14:textId="77777777" w:rsidR="00A61B96" w:rsidRPr="008A7175" w:rsidRDefault="00A61B96" w:rsidP="008A7175">
      <w:pPr>
        <w:jc w:val="left"/>
        <w:rPr>
          <w:b/>
          <w:bCs/>
          <w:sz w:val="20"/>
          <w:szCs w:val="20"/>
        </w:rPr>
      </w:pPr>
      <w:r w:rsidRPr="008A7175">
        <w:rPr>
          <w:b/>
          <w:bCs/>
          <w:sz w:val="20"/>
          <w:szCs w:val="20"/>
        </w:rPr>
        <w:t>Az építészet ereje a tudásmegosztásban</w:t>
      </w:r>
      <w:r w:rsidRPr="008A7175">
        <w:rPr>
          <w:sz w:val="20"/>
          <w:szCs w:val="20"/>
        </w:rPr>
        <w:t xml:space="preserve"> </w:t>
      </w:r>
      <w:r w:rsidRPr="008A7175">
        <w:rPr>
          <w:b/>
          <w:bCs/>
          <w:sz w:val="20"/>
          <w:szCs w:val="20"/>
        </w:rPr>
        <w:t>– Budapesten mutatták be a pécsi orvoskar egyedülálló építészeti vízióját</w:t>
      </w:r>
    </w:p>
    <w:p w14:paraId="20CBC857" w14:textId="77777777" w:rsidR="00A61B96" w:rsidRPr="008A7175" w:rsidRDefault="00A61B96" w:rsidP="008A7175">
      <w:pPr>
        <w:jc w:val="left"/>
        <w:rPr>
          <w:b/>
          <w:bCs/>
          <w:sz w:val="20"/>
          <w:szCs w:val="20"/>
        </w:rPr>
      </w:pPr>
      <w:r w:rsidRPr="008A7175">
        <w:rPr>
          <w:b/>
          <w:bCs/>
          <w:sz w:val="20"/>
          <w:szCs w:val="20"/>
        </w:rPr>
        <w:t xml:space="preserve">Kiemelkedő szerepe van az építészetnek a tudásipari vállalkozások, így az egyetemek életében is: a jól kialakított épületek, tudás- és közösségi terek a siker </w:t>
      </w:r>
      <w:proofErr w:type="spellStart"/>
      <w:r w:rsidRPr="008A7175">
        <w:rPr>
          <w:b/>
          <w:bCs/>
          <w:sz w:val="20"/>
          <w:szCs w:val="20"/>
        </w:rPr>
        <w:t>záloga</w:t>
      </w:r>
      <w:proofErr w:type="spellEnd"/>
      <w:r w:rsidRPr="008A7175">
        <w:rPr>
          <w:b/>
          <w:bCs/>
          <w:sz w:val="20"/>
          <w:szCs w:val="20"/>
        </w:rPr>
        <w:t xml:space="preserve">. A PTE Általános Orvostudományi Kar az ország felsőoktatási intézményeinek mezőnyében egyedüliként rendelkezik építészeti vízióval, egységes belsőépítészeti arculati kézikönyvvel, mely más intézmények és tudásipari szereplők számára is iránymutatásként, követendő példaként szolgálhat. Többek között erről is szó volt azon a közelmúltban lezajlott budapesti pódiumbeszélgetésen, ahol pécsi orvoskar építészeti víziója, a Campus és a </w:t>
      </w:r>
      <w:proofErr w:type="spellStart"/>
      <w:r w:rsidRPr="008A7175">
        <w:rPr>
          <w:b/>
          <w:bCs/>
          <w:sz w:val="20"/>
          <w:szCs w:val="20"/>
        </w:rPr>
        <w:t>Locus</w:t>
      </w:r>
      <w:proofErr w:type="spellEnd"/>
      <w:r w:rsidRPr="008A7175">
        <w:rPr>
          <w:b/>
          <w:bCs/>
          <w:sz w:val="20"/>
          <w:szCs w:val="20"/>
        </w:rPr>
        <w:t xml:space="preserve"> </w:t>
      </w:r>
      <w:proofErr w:type="spellStart"/>
      <w:r w:rsidRPr="008A7175">
        <w:rPr>
          <w:b/>
          <w:bCs/>
          <w:sz w:val="20"/>
          <w:szCs w:val="20"/>
        </w:rPr>
        <w:t>Cooperationis</w:t>
      </w:r>
      <w:proofErr w:type="spellEnd"/>
      <w:r w:rsidRPr="008A7175">
        <w:rPr>
          <w:b/>
          <w:bCs/>
          <w:sz w:val="20"/>
          <w:szCs w:val="20"/>
        </w:rPr>
        <w:t xml:space="preserve"> volt terítéken.</w:t>
      </w:r>
    </w:p>
    <w:p w14:paraId="44D16F32" w14:textId="6652B20B" w:rsidR="00A61B96" w:rsidRPr="008A7175" w:rsidRDefault="00A61B96" w:rsidP="008A7175">
      <w:pPr>
        <w:jc w:val="left"/>
        <w:rPr>
          <w:sz w:val="20"/>
          <w:szCs w:val="20"/>
        </w:rPr>
      </w:pPr>
      <w:r w:rsidRPr="008A7175">
        <w:rPr>
          <w:b/>
          <w:bCs/>
          <w:i/>
          <w:iCs/>
          <w:sz w:val="20"/>
          <w:szCs w:val="20"/>
        </w:rPr>
        <w:t xml:space="preserve">"Campus </w:t>
      </w:r>
      <w:proofErr w:type="spellStart"/>
      <w:r w:rsidRPr="008A7175">
        <w:rPr>
          <w:b/>
          <w:bCs/>
          <w:i/>
          <w:iCs/>
          <w:sz w:val="20"/>
          <w:szCs w:val="20"/>
        </w:rPr>
        <w:t>Cooperationis</w:t>
      </w:r>
      <w:proofErr w:type="spellEnd"/>
      <w:r w:rsidRPr="008A7175">
        <w:rPr>
          <w:b/>
          <w:bCs/>
          <w:i/>
          <w:iCs/>
          <w:sz w:val="20"/>
          <w:szCs w:val="20"/>
        </w:rPr>
        <w:t>: Az építészet ereje a tudásmegosztásban</w:t>
      </w:r>
      <w:r w:rsidRPr="008A7175">
        <w:rPr>
          <w:sz w:val="20"/>
          <w:szCs w:val="20"/>
        </w:rPr>
        <w:t xml:space="preserve">" címmel szervezett beszélgetést június 9-én Budapesten a </w:t>
      </w:r>
      <w:proofErr w:type="spellStart"/>
      <w:r w:rsidRPr="008A7175">
        <w:rPr>
          <w:sz w:val="20"/>
          <w:szCs w:val="20"/>
        </w:rPr>
        <w:t>Mathias</w:t>
      </w:r>
      <w:proofErr w:type="spellEnd"/>
      <w:r w:rsidRPr="008A7175">
        <w:rPr>
          <w:sz w:val="20"/>
          <w:szCs w:val="20"/>
        </w:rPr>
        <w:t xml:space="preserve"> Corvinus Collegium (MCC), ahol a pécsi építészeti fejlesztései és jövőbeli tervei, stratégiája volt a fókuszban. A tanulmányról dr. Schreck Ákos, az orvoskar építészeti vízióját megalkotó MINUSPLUS tervezőiroda társalapítója, vezető tervezője </w:t>
      </w:r>
      <w:proofErr w:type="gramStart"/>
      <w:r w:rsidRPr="008A7175">
        <w:rPr>
          <w:sz w:val="20"/>
          <w:szCs w:val="20"/>
        </w:rPr>
        <w:t>tartott</w:t>
      </w:r>
      <w:r w:rsidR="008A7175">
        <w:rPr>
          <w:sz w:val="20"/>
          <w:szCs w:val="20"/>
        </w:rPr>
        <w:t xml:space="preserve"> </w:t>
      </w:r>
      <w:r w:rsidRPr="008A7175">
        <w:rPr>
          <w:sz w:val="20"/>
          <w:szCs w:val="20"/>
        </w:rPr>
        <w:t>előadást</w:t>
      </w:r>
      <w:proofErr w:type="gramEnd"/>
      <w:r w:rsidRPr="008A7175">
        <w:rPr>
          <w:sz w:val="20"/>
          <w:szCs w:val="20"/>
        </w:rPr>
        <w:t>. Ezt egy pódiumbeszélgetés követte, ahol dr. Nyitrai Miklós, a pécsi orvoskar dékánja, dr. Csaba Ders egyetemi főépítész és várostervező járta körül a jövőbe mutató koncepciót.</w:t>
      </w:r>
    </w:p>
    <w:p w14:paraId="31A3B6D8" w14:textId="77777777" w:rsidR="00A61B96" w:rsidRPr="008A7175" w:rsidRDefault="00A61B96" w:rsidP="008A7175">
      <w:pPr>
        <w:jc w:val="left"/>
        <w:rPr>
          <w:sz w:val="20"/>
          <w:szCs w:val="20"/>
        </w:rPr>
      </w:pPr>
      <w:r w:rsidRPr="008A7175">
        <w:rPr>
          <w:i/>
          <w:iCs/>
          <w:sz w:val="20"/>
          <w:szCs w:val="20"/>
        </w:rPr>
        <w:t xml:space="preserve">„Az együttműködés abban hoz újat, hogy </w:t>
      </w:r>
      <w:proofErr w:type="spellStart"/>
      <w:r w:rsidRPr="008A7175">
        <w:rPr>
          <w:i/>
          <w:iCs/>
          <w:sz w:val="20"/>
          <w:szCs w:val="20"/>
        </w:rPr>
        <w:t>újradefiniálja</w:t>
      </w:r>
      <w:proofErr w:type="spellEnd"/>
      <w:r w:rsidRPr="008A7175">
        <w:rPr>
          <w:i/>
          <w:iCs/>
          <w:sz w:val="20"/>
          <w:szCs w:val="20"/>
        </w:rPr>
        <w:t xml:space="preserve"> az építész és a megrendelő együttműködését a tudásterek tekintetében és konzisztens minőséget teremt a több szálon, eltérő forrásból, párhuzamosan haladó beruházásokban. A projekt által bemutatott koncepció és a működés inspirálóak és iránymutatóak lehetnek más egyetemek és tudásipari szereplők számára is”</w:t>
      </w:r>
      <w:r w:rsidRPr="008A7175">
        <w:rPr>
          <w:sz w:val="20"/>
          <w:szCs w:val="20"/>
        </w:rPr>
        <w:t xml:space="preserve"> – fogalmazott dr. Schreck Ákos a MINUSPLUS </w:t>
      </w:r>
      <w:hyperlink r:id="rId7" w:history="1">
        <w:r w:rsidRPr="008A7175">
          <w:rPr>
            <w:rStyle w:val="Hiperhivatkozs"/>
            <w:sz w:val="20"/>
            <w:szCs w:val="20"/>
          </w:rPr>
          <w:t>Facebook-oldalán</w:t>
        </w:r>
      </w:hyperlink>
      <w:r w:rsidRPr="008A7175">
        <w:rPr>
          <w:sz w:val="20"/>
          <w:szCs w:val="20"/>
        </w:rPr>
        <w:t xml:space="preserve">. </w:t>
      </w:r>
    </w:p>
    <w:p w14:paraId="70AA4299" w14:textId="77777777" w:rsidR="00A61B96" w:rsidRPr="008A7175" w:rsidRDefault="00A61B96" w:rsidP="008A7175">
      <w:pPr>
        <w:jc w:val="left"/>
        <w:rPr>
          <w:sz w:val="20"/>
          <w:szCs w:val="20"/>
        </w:rPr>
      </w:pPr>
      <w:r w:rsidRPr="008A7175">
        <w:rPr>
          <w:sz w:val="20"/>
          <w:szCs w:val="20"/>
        </w:rPr>
        <w:t xml:space="preserve">Szavai szerint </w:t>
      </w:r>
      <w:r w:rsidRPr="008A7175">
        <w:rPr>
          <w:b/>
          <w:bCs/>
          <w:sz w:val="20"/>
          <w:szCs w:val="20"/>
        </w:rPr>
        <w:t xml:space="preserve">a Campus </w:t>
      </w:r>
      <w:proofErr w:type="spellStart"/>
      <w:r w:rsidRPr="008A7175">
        <w:rPr>
          <w:b/>
          <w:bCs/>
          <w:sz w:val="20"/>
          <w:szCs w:val="20"/>
        </w:rPr>
        <w:t>Cooperationis</w:t>
      </w:r>
      <w:proofErr w:type="spellEnd"/>
      <w:r w:rsidRPr="008A7175">
        <w:rPr>
          <w:b/>
          <w:bCs/>
          <w:sz w:val="20"/>
          <w:szCs w:val="20"/>
        </w:rPr>
        <w:t xml:space="preserve"> meghatározza a hosszú távú építészeti és téralakítási fejlesztési irányokat és logikát</w:t>
      </w:r>
      <w:r w:rsidRPr="008A7175">
        <w:rPr>
          <w:sz w:val="20"/>
          <w:szCs w:val="20"/>
        </w:rPr>
        <w:t xml:space="preserve">. A tanulmány folytatásaként elkészült belsőépítészeti arculati kézikönyv, </w:t>
      </w:r>
      <w:r w:rsidRPr="008A7175">
        <w:rPr>
          <w:b/>
          <w:bCs/>
          <w:sz w:val="20"/>
          <w:szCs w:val="20"/>
        </w:rPr>
        <w:t xml:space="preserve">a </w:t>
      </w:r>
      <w:proofErr w:type="spellStart"/>
      <w:r w:rsidRPr="008A7175">
        <w:rPr>
          <w:b/>
          <w:bCs/>
          <w:sz w:val="20"/>
          <w:szCs w:val="20"/>
        </w:rPr>
        <w:t>Locus</w:t>
      </w:r>
      <w:proofErr w:type="spellEnd"/>
      <w:r w:rsidRPr="008A7175">
        <w:rPr>
          <w:b/>
          <w:bCs/>
          <w:sz w:val="20"/>
          <w:szCs w:val="20"/>
        </w:rPr>
        <w:t xml:space="preserve"> </w:t>
      </w:r>
      <w:proofErr w:type="spellStart"/>
      <w:r w:rsidRPr="008A7175">
        <w:rPr>
          <w:b/>
          <w:bCs/>
          <w:sz w:val="20"/>
          <w:szCs w:val="20"/>
        </w:rPr>
        <w:t>Cooperationis</w:t>
      </w:r>
      <w:proofErr w:type="spellEnd"/>
      <w:r w:rsidRPr="008A7175">
        <w:rPr>
          <w:sz w:val="20"/>
          <w:szCs w:val="20"/>
        </w:rPr>
        <w:t xml:space="preserve"> pedig egy </w:t>
      </w:r>
      <w:r w:rsidRPr="008A7175">
        <w:rPr>
          <w:b/>
          <w:bCs/>
          <w:sz w:val="20"/>
          <w:szCs w:val="20"/>
        </w:rPr>
        <w:t>műfajteremtő munka</w:t>
      </w:r>
      <w:r w:rsidRPr="008A7175">
        <w:rPr>
          <w:sz w:val="20"/>
          <w:szCs w:val="20"/>
        </w:rPr>
        <w:t>, mert skálázható, és egyedi helyzetekre adaptálható. A két kötet segítséget nyújt az egyetemi fejlesztésekhez és az építészeti programalkotáshoz, illetve részletes útmutatást ad a tervezési folyamat egészére.</w:t>
      </w:r>
    </w:p>
    <w:p w14:paraId="4EC9E862" w14:textId="77777777" w:rsidR="00A61B96" w:rsidRPr="008A7175" w:rsidRDefault="00A61B96" w:rsidP="008A7175">
      <w:pPr>
        <w:jc w:val="left"/>
        <w:rPr>
          <w:sz w:val="20"/>
          <w:szCs w:val="20"/>
        </w:rPr>
      </w:pPr>
      <w:r w:rsidRPr="008A7175">
        <w:rPr>
          <w:i/>
          <w:iCs/>
          <w:sz w:val="20"/>
          <w:szCs w:val="20"/>
        </w:rPr>
        <w:t>„Az építészet és a tudásterek tervezése nem csupán funkcionalitással és esztétikával foglalkozik, hanem a közösségi együttműködést és az interaktív tanulást is támogatja. Az építészeti megoldások és a tervezési keretrendszerek célja, hogy a tanulók és kutatók inspiráló és innovatív környezetben fejleszthessék tudásukat és együttműködjenek egymással”</w:t>
      </w:r>
      <w:r w:rsidRPr="008A7175">
        <w:rPr>
          <w:sz w:val="20"/>
          <w:szCs w:val="20"/>
        </w:rPr>
        <w:t xml:space="preserve"> – hangsúlyozta a fővárosi beszélgetést követően a vezető tervező.</w:t>
      </w:r>
    </w:p>
    <w:p w14:paraId="32E4DABC" w14:textId="77777777" w:rsidR="00A61B96" w:rsidRPr="008A7175" w:rsidRDefault="00A61B96" w:rsidP="008A7175">
      <w:pPr>
        <w:jc w:val="left"/>
        <w:rPr>
          <w:b/>
          <w:bCs/>
          <w:sz w:val="20"/>
          <w:szCs w:val="20"/>
        </w:rPr>
      </w:pPr>
      <w:r w:rsidRPr="008A7175">
        <w:rPr>
          <w:b/>
          <w:bCs/>
          <w:sz w:val="20"/>
          <w:szCs w:val="20"/>
        </w:rPr>
        <w:t>Felértékelődnek a hallgatói terek</w:t>
      </w:r>
    </w:p>
    <w:p w14:paraId="10A81DB0" w14:textId="77777777" w:rsidR="00A61B96" w:rsidRPr="008A7175" w:rsidRDefault="00A61B96" w:rsidP="008A7175">
      <w:pPr>
        <w:jc w:val="left"/>
        <w:rPr>
          <w:sz w:val="20"/>
          <w:szCs w:val="20"/>
        </w:rPr>
      </w:pPr>
      <w:r w:rsidRPr="008A7175">
        <w:rPr>
          <w:sz w:val="20"/>
          <w:szCs w:val="20"/>
        </w:rPr>
        <w:t xml:space="preserve">Csaba Ders egyetemi főépítész szerint </w:t>
      </w:r>
      <w:r w:rsidRPr="008A7175">
        <w:rPr>
          <w:b/>
          <w:bCs/>
          <w:sz w:val="20"/>
          <w:szCs w:val="20"/>
        </w:rPr>
        <w:t>a PTE Általános Orvostudományi Kar építészeti koncepciója az oktatás építészetének jövőjéről szól.</w:t>
      </w:r>
      <w:r w:rsidRPr="008A7175">
        <w:rPr>
          <w:sz w:val="20"/>
          <w:szCs w:val="20"/>
        </w:rPr>
        <w:t xml:space="preserve"> E téren számos trend figyelhető meg, többek között megtörni látszik a hagyományos oktatási alapképlet is, mely még kizárólag frontális és szemináriumi oktatásban </w:t>
      </w:r>
      <w:r w:rsidRPr="008A7175">
        <w:rPr>
          <w:sz w:val="20"/>
          <w:szCs w:val="20"/>
        </w:rPr>
        <w:lastRenderedPageBreak/>
        <w:t xml:space="preserve">gondolkozik. Rámutatott, </w:t>
      </w:r>
      <w:proofErr w:type="spellStart"/>
      <w:r w:rsidRPr="008A7175">
        <w:rPr>
          <w:sz w:val="20"/>
          <w:szCs w:val="20"/>
        </w:rPr>
        <w:t>átszövi</w:t>
      </w:r>
      <w:proofErr w:type="spellEnd"/>
      <w:r w:rsidRPr="008A7175">
        <w:rPr>
          <w:sz w:val="20"/>
          <w:szCs w:val="20"/>
        </w:rPr>
        <w:t xml:space="preserve"> az életünket a digitális oktatás, a </w:t>
      </w:r>
      <w:proofErr w:type="spellStart"/>
      <w:r w:rsidRPr="008A7175">
        <w:rPr>
          <w:sz w:val="20"/>
          <w:szCs w:val="20"/>
        </w:rPr>
        <w:t>blended</w:t>
      </w:r>
      <w:proofErr w:type="spellEnd"/>
      <w:r w:rsidRPr="008A7175">
        <w:rPr>
          <w:sz w:val="20"/>
          <w:szCs w:val="20"/>
        </w:rPr>
        <w:t xml:space="preserve"> </w:t>
      </w:r>
      <w:proofErr w:type="spellStart"/>
      <w:r w:rsidRPr="008A7175">
        <w:rPr>
          <w:sz w:val="20"/>
          <w:szCs w:val="20"/>
        </w:rPr>
        <w:t>learning</w:t>
      </w:r>
      <w:proofErr w:type="spellEnd"/>
      <w:r w:rsidRPr="008A7175">
        <w:rPr>
          <w:sz w:val="20"/>
          <w:szCs w:val="20"/>
        </w:rPr>
        <w:t>, ez viszont pont nem idegeníti el a hallgatókat a fizikai terektől.</w:t>
      </w:r>
    </w:p>
    <w:p w14:paraId="1C87B60B" w14:textId="77777777" w:rsidR="00A61B96" w:rsidRPr="008A7175" w:rsidRDefault="00A61B96" w:rsidP="008A7175">
      <w:pPr>
        <w:jc w:val="left"/>
        <w:rPr>
          <w:sz w:val="20"/>
          <w:szCs w:val="20"/>
        </w:rPr>
      </w:pPr>
      <w:r w:rsidRPr="008A7175">
        <w:rPr>
          <w:b/>
          <w:bCs/>
          <w:i/>
          <w:iCs/>
          <w:sz w:val="20"/>
          <w:szCs w:val="20"/>
        </w:rPr>
        <w:t>„</w:t>
      </w:r>
      <w:r w:rsidRPr="008A7175">
        <w:rPr>
          <w:i/>
          <w:iCs/>
          <w:sz w:val="20"/>
          <w:szCs w:val="20"/>
        </w:rPr>
        <w:t xml:space="preserve">A pécsi orvosi főépülete fontos tér a hallgatók számukra. A napjuk jelentős részét töltik itt, tanulnak, pihennek, étkeznek, közösségi életet élnek. A folyamatos jelenlét miatt pedig felértékelődik a </w:t>
      </w:r>
      <w:proofErr w:type="gramStart"/>
      <w:r w:rsidRPr="008A7175">
        <w:rPr>
          <w:i/>
          <w:iCs/>
          <w:sz w:val="20"/>
          <w:szCs w:val="20"/>
        </w:rPr>
        <w:t>campus</w:t>
      </w:r>
      <w:proofErr w:type="gramEnd"/>
      <w:r w:rsidRPr="008A7175">
        <w:rPr>
          <w:i/>
          <w:iCs/>
          <w:sz w:val="20"/>
          <w:szCs w:val="20"/>
        </w:rPr>
        <w:t xml:space="preserve"> mint építészeti tér. Az egyedülálló koncepció az oktatás építészetének jövőjére fókuszál”</w:t>
      </w:r>
      <w:r w:rsidRPr="008A7175">
        <w:rPr>
          <w:sz w:val="20"/>
          <w:szCs w:val="20"/>
        </w:rPr>
        <w:t xml:space="preserve"> – fogalmazott a főépítész, aki szerint </w:t>
      </w:r>
      <w:r w:rsidRPr="008A7175">
        <w:rPr>
          <w:b/>
          <w:bCs/>
          <w:sz w:val="20"/>
          <w:szCs w:val="20"/>
        </w:rPr>
        <w:t>a versenyképesség szempontjából kulcskérdés a megfelelő tértípus</w:t>
      </w:r>
      <w:r w:rsidRPr="008A7175">
        <w:rPr>
          <w:sz w:val="20"/>
          <w:szCs w:val="20"/>
        </w:rPr>
        <w:t xml:space="preserve">. Mint mondta, </w:t>
      </w:r>
      <w:r w:rsidRPr="008A7175">
        <w:rPr>
          <w:b/>
          <w:bCs/>
          <w:sz w:val="20"/>
          <w:szCs w:val="20"/>
        </w:rPr>
        <w:t>az egyetemnek tudásipari vállalkozásként kell jól működnie</w:t>
      </w:r>
      <w:r w:rsidRPr="008A7175">
        <w:rPr>
          <w:sz w:val="20"/>
          <w:szCs w:val="20"/>
        </w:rPr>
        <w:t>, a hallgatók, oktatók és a munkatársak alkotta közösségét pedig mint tudásközösség kell építészeti eszközökkel támogatni. Ehhez pedig elengedetlen egy irányító, koncepcionális anyag, mely kijelöli a fejlesztési irányt.</w:t>
      </w:r>
    </w:p>
    <w:p w14:paraId="1D5F73F4" w14:textId="77777777" w:rsidR="00A61B96" w:rsidRPr="008A7175" w:rsidRDefault="00A61B96" w:rsidP="008A7175">
      <w:pPr>
        <w:jc w:val="left"/>
        <w:rPr>
          <w:sz w:val="20"/>
          <w:szCs w:val="20"/>
        </w:rPr>
      </w:pPr>
      <w:r w:rsidRPr="008A7175">
        <w:rPr>
          <w:sz w:val="20"/>
          <w:szCs w:val="20"/>
        </w:rPr>
        <w:t xml:space="preserve">Csaba Ders rámutatott, </w:t>
      </w:r>
      <w:r w:rsidRPr="008A7175">
        <w:rPr>
          <w:b/>
          <w:bCs/>
          <w:sz w:val="20"/>
          <w:szCs w:val="20"/>
        </w:rPr>
        <w:t xml:space="preserve">a pécsi orvoskar az ország első olyan </w:t>
      </w:r>
      <w:proofErr w:type="spellStart"/>
      <w:r w:rsidRPr="008A7175">
        <w:rPr>
          <w:b/>
          <w:bCs/>
          <w:sz w:val="20"/>
          <w:szCs w:val="20"/>
        </w:rPr>
        <w:t>kara</w:t>
      </w:r>
      <w:proofErr w:type="spellEnd"/>
      <w:r w:rsidRPr="008A7175">
        <w:rPr>
          <w:b/>
          <w:bCs/>
          <w:sz w:val="20"/>
          <w:szCs w:val="20"/>
        </w:rPr>
        <w:t>, mely rendelkezik építészeti vízióval, egységes belsőépítészeti arculati kézikönyvvel</w:t>
      </w:r>
      <w:r w:rsidRPr="008A7175">
        <w:rPr>
          <w:sz w:val="20"/>
          <w:szCs w:val="20"/>
        </w:rPr>
        <w:t xml:space="preserve">. A koncepció szakmai megítélése rendkívül pozitív, 2022 őszén a Budapest Design </w:t>
      </w:r>
      <w:proofErr w:type="spellStart"/>
      <w:r w:rsidRPr="008A7175">
        <w:rPr>
          <w:sz w:val="20"/>
          <w:szCs w:val="20"/>
        </w:rPr>
        <w:t>Week</w:t>
      </w:r>
      <w:proofErr w:type="spellEnd"/>
      <w:r w:rsidRPr="008A7175">
        <w:rPr>
          <w:sz w:val="20"/>
          <w:szCs w:val="20"/>
        </w:rPr>
        <w:t xml:space="preserve"> keretein belül is lehetőség nyílt róla beszélgetni.</w:t>
      </w:r>
    </w:p>
    <w:p w14:paraId="71F014B4" w14:textId="77777777" w:rsidR="00A61B96" w:rsidRPr="008A7175" w:rsidRDefault="00A61B96" w:rsidP="008A7175">
      <w:pPr>
        <w:jc w:val="left"/>
        <w:rPr>
          <w:b/>
          <w:bCs/>
          <w:sz w:val="20"/>
          <w:szCs w:val="20"/>
        </w:rPr>
      </w:pPr>
      <w:r w:rsidRPr="008A7175">
        <w:rPr>
          <w:b/>
          <w:bCs/>
          <w:sz w:val="20"/>
          <w:szCs w:val="20"/>
        </w:rPr>
        <w:t>Fókuszban a hallgatói igények</w:t>
      </w:r>
    </w:p>
    <w:p w14:paraId="22573F05" w14:textId="77777777" w:rsidR="00A61B96" w:rsidRPr="008A7175" w:rsidRDefault="00A61B96" w:rsidP="008A7175">
      <w:pPr>
        <w:jc w:val="left"/>
        <w:rPr>
          <w:sz w:val="20"/>
          <w:szCs w:val="20"/>
        </w:rPr>
      </w:pPr>
      <w:r w:rsidRPr="008A7175">
        <w:rPr>
          <w:i/>
          <w:iCs/>
          <w:sz w:val="20"/>
          <w:szCs w:val="20"/>
        </w:rPr>
        <w:t xml:space="preserve">"Ha a Campus </w:t>
      </w:r>
      <w:proofErr w:type="spellStart"/>
      <w:r w:rsidRPr="008A7175">
        <w:rPr>
          <w:i/>
          <w:iCs/>
          <w:sz w:val="20"/>
          <w:szCs w:val="20"/>
        </w:rPr>
        <w:t>Cooperationis</w:t>
      </w:r>
      <w:proofErr w:type="spellEnd"/>
      <w:r w:rsidRPr="008A7175">
        <w:rPr>
          <w:i/>
          <w:iCs/>
          <w:sz w:val="20"/>
          <w:szCs w:val="20"/>
        </w:rPr>
        <w:t xml:space="preserve"> a borsónak a héja, akkor a </w:t>
      </w:r>
      <w:proofErr w:type="spellStart"/>
      <w:r w:rsidRPr="008A7175">
        <w:rPr>
          <w:i/>
          <w:iCs/>
          <w:sz w:val="20"/>
          <w:szCs w:val="20"/>
        </w:rPr>
        <w:t>Locus</w:t>
      </w:r>
      <w:proofErr w:type="spellEnd"/>
      <w:r w:rsidRPr="008A7175">
        <w:rPr>
          <w:i/>
          <w:iCs/>
          <w:sz w:val="20"/>
          <w:szCs w:val="20"/>
        </w:rPr>
        <w:t xml:space="preserve"> </w:t>
      </w:r>
      <w:proofErr w:type="spellStart"/>
      <w:r w:rsidRPr="008A7175">
        <w:rPr>
          <w:i/>
          <w:iCs/>
          <w:sz w:val="20"/>
          <w:szCs w:val="20"/>
        </w:rPr>
        <w:t>Cooperationis</w:t>
      </w:r>
      <w:proofErr w:type="spellEnd"/>
      <w:r w:rsidRPr="008A7175">
        <w:rPr>
          <w:i/>
          <w:iCs/>
          <w:sz w:val="20"/>
          <w:szCs w:val="20"/>
        </w:rPr>
        <w:t xml:space="preserve"> benne a borsó. Először a héjat alkottuk meg, aztán elkezdtük azon törni a fejünket, hogy a termés miként legyen benne”</w:t>
      </w:r>
      <w:r w:rsidRPr="008A7175">
        <w:rPr>
          <w:sz w:val="20"/>
          <w:szCs w:val="20"/>
        </w:rPr>
        <w:t xml:space="preserve"> - </w:t>
      </w:r>
      <w:hyperlink r:id="rId8" w:history="1">
        <w:r w:rsidRPr="008A7175">
          <w:rPr>
            <w:rStyle w:val="Hiperhivatkozs"/>
            <w:sz w:val="20"/>
            <w:szCs w:val="20"/>
          </w:rPr>
          <w:t>nyilatkozta korábban</w:t>
        </w:r>
      </w:hyperlink>
      <w:r w:rsidRPr="008A7175">
        <w:rPr>
          <w:sz w:val="20"/>
          <w:szCs w:val="20"/>
        </w:rPr>
        <w:t xml:space="preserve"> az orvoskar építészeti víziója kapcsán dr. Nyitrai Miklós dékán. Szavai szerint szerettek volna egy hosszú évekre előre tervezett belsőépítészeti koncepciót és keretrendszert látni, ami igazodásként, állandósult arculatként szolgálhat a jövőbeni változások között is.</w:t>
      </w:r>
    </w:p>
    <w:p w14:paraId="08195F96" w14:textId="77777777" w:rsidR="00A61B96" w:rsidRPr="008A7175" w:rsidRDefault="00A61B96" w:rsidP="008A7175">
      <w:pPr>
        <w:jc w:val="left"/>
        <w:rPr>
          <w:sz w:val="20"/>
          <w:szCs w:val="20"/>
        </w:rPr>
      </w:pPr>
      <w:r w:rsidRPr="008A7175">
        <w:rPr>
          <w:i/>
          <w:iCs/>
          <w:sz w:val="20"/>
          <w:szCs w:val="20"/>
        </w:rPr>
        <w:t xml:space="preserve">„Az orvoskar és az egyetem vezetése elhivatott abban, hogy a hallgatóink igényeinek megfelelően biztosítsunk számukra közösségi tereket. Az eddigi építészeti szokások az egyetemeken arról szóltak, hogy legyenek közlekedő folyosók és tantermek az oktatásra, azonban a 21. században ennél több kell, és ezt felismerte a felsőoktatási és az építész szakma is. Ahhoz, hogy ez sikeres legyen, fel kell mérnünk az igényeket. Ezért döntöttünk úgy, hogy az építészekkel összefogva bemutatunk a lehetőségekre már meglévő válaszokat, amikről aztán lehet véleményt nyilvánítani. Ilyen értelemben a </w:t>
      </w:r>
      <w:proofErr w:type="spellStart"/>
      <w:r w:rsidRPr="008A7175">
        <w:rPr>
          <w:i/>
          <w:iCs/>
          <w:sz w:val="20"/>
          <w:szCs w:val="20"/>
        </w:rPr>
        <w:t>Locus</w:t>
      </w:r>
      <w:proofErr w:type="spellEnd"/>
      <w:r w:rsidRPr="008A7175">
        <w:rPr>
          <w:i/>
          <w:iCs/>
          <w:sz w:val="20"/>
          <w:szCs w:val="20"/>
        </w:rPr>
        <w:t xml:space="preserve"> </w:t>
      </w:r>
      <w:proofErr w:type="spellStart"/>
      <w:r w:rsidRPr="008A7175">
        <w:rPr>
          <w:i/>
          <w:iCs/>
          <w:sz w:val="20"/>
          <w:szCs w:val="20"/>
        </w:rPr>
        <w:t>Cooperationis</w:t>
      </w:r>
      <w:proofErr w:type="spellEnd"/>
      <w:r w:rsidRPr="008A7175">
        <w:rPr>
          <w:i/>
          <w:iCs/>
          <w:sz w:val="20"/>
          <w:szCs w:val="20"/>
        </w:rPr>
        <w:t xml:space="preserve"> eszköze annak, hogy beszélgetés induljon közöttünk”</w:t>
      </w:r>
      <w:r w:rsidRPr="008A7175">
        <w:rPr>
          <w:sz w:val="20"/>
          <w:szCs w:val="20"/>
        </w:rPr>
        <w:t xml:space="preserve"> - fogalmazott a kar vezetője.</w:t>
      </w:r>
    </w:p>
    <w:p w14:paraId="5074BCE1" w14:textId="77777777" w:rsidR="00A61B96" w:rsidRPr="008A7175" w:rsidRDefault="00A61B96" w:rsidP="008A7175">
      <w:pPr>
        <w:jc w:val="left"/>
        <w:rPr>
          <w:sz w:val="20"/>
          <w:szCs w:val="20"/>
        </w:rPr>
      </w:pPr>
    </w:p>
    <w:p w14:paraId="297EF734" w14:textId="77777777" w:rsidR="00A61B96" w:rsidRPr="008A7175" w:rsidRDefault="00A61B96" w:rsidP="008A7175">
      <w:pPr>
        <w:jc w:val="left"/>
        <w:rPr>
          <w:sz w:val="20"/>
          <w:szCs w:val="20"/>
        </w:rPr>
      </w:pPr>
    </w:p>
    <w:p w14:paraId="06DE5C36" w14:textId="77777777" w:rsidR="00A61B96" w:rsidRPr="008A7175" w:rsidRDefault="00A61B96" w:rsidP="008A7175">
      <w:pPr>
        <w:jc w:val="left"/>
        <w:rPr>
          <w:sz w:val="20"/>
          <w:szCs w:val="20"/>
        </w:rPr>
      </w:pPr>
    </w:p>
    <w:p w14:paraId="7C4A27C4" w14:textId="610851F3" w:rsidR="00E16B0D" w:rsidRPr="008A7175" w:rsidRDefault="00E16B0D" w:rsidP="008A7175">
      <w:pPr>
        <w:jc w:val="left"/>
        <w:rPr>
          <w:rFonts w:cs="Poppins Light"/>
          <w:i/>
          <w:iCs/>
          <w:sz w:val="20"/>
          <w:szCs w:val="20"/>
          <w:u w:val="single"/>
        </w:rPr>
      </w:pPr>
    </w:p>
    <w:sectPr w:rsidR="00E16B0D" w:rsidRPr="008A7175" w:rsidSect="00010D0F">
      <w:headerReference w:type="default" r:id="rId9"/>
      <w:footerReference w:type="default" r:id="rId10"/>
      <w:headerReference w:type="first" r:id="rId11"/>
      <w:footerReference w:type="first" r:id="rId12"/>
      <w:pgSz w:w="11906" w:h="16838" w:code="9"/>
      <w:pgMar w:top="2155" w:right="794" w:bottom="2155" w:left="794"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7F76" w14:textId="77777777" w:rsidR="0098134E" w:rsidRDefault="0098134E" w:rsidP="00A2314E">
      <w:pPr>
        <w:spacing w:after="0" w:line="240" w:lineRule="auto"/>
      </w:pPr>
      <w:r>
        <w:separator/>
      </w:r>
    </w:p>
  </w:endnote>
  <w:endnote w:type="continuationSeparator" w:id="0">
    <w:p w14:paraId="0501FDB2" w14:textId="77777777" w:rsidR="0098134E" w:rsidRDefault="0098134E" w:rsidP="00A2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oppins Light">
    <w:altName w:val="Calibri"/>
    <w:charset w:val="EE"/>
    <w:family w:val="auto"/>
    <w:pitch w:val="variable"/>
    <w:sig w:usb0="00008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Optima CE">
    <w:altName w:val="Calibri"/>
    <w:panose1 w:val="00000000000000000000"/>
    <w:charset w:val="00"/>
    <w:family w:val="modern"/>
    <w:notTrueType/>
    <w:pitch w:val="variable"/>
    <w:sig w:usb0="800000AF" w:usb1="50002048" w:usb2="00000000" w:usb3="00000000" w:csb0="00000001" w:csb1="00000000"/>
  </w:font>
  <w:font w:name="Poppins">
    <w:altName w:val="Poppins"/>
    <w:charset w:val="EE"/>
    <w:family w:val="auto"/>
    <w:pitch w:val="variable"/>
    <w:sig w:usb0="00008007" w:usb1="00000000" w:usb2="00000000" w:usb3="00000000" w:csb0="00000093" w:csb1="00000000"/>
  </w:font>
  <w:font w:name="Planer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C92D91" w14:paraId="412B7F6E" w14:textId="77777777" w:rsidTr="00757736">
      <w:trPr>
        <w:trHeight w:val="397"/>
      </w:trPr>
      <w:tc>
        <w:tcPr>
          <w:tcW w:w="1106" w:type="dxa"/>
          <w:vMerge w:val="restart"/>
          <w:vAlign w:val="center"/>
        </w:tcPr>
        <w:p w14:paraId="688DE550" w14:textId="77777777" w:rsidR="00C92D91" w:rsidRPr="005D4F3C" w:rsidRDefault="00C92D91" w:rsidP="00C92D91">
          <w:pPr>
            <w:pStyle w:val="llb"/>
            <w:jc w:val="left"/>
            <w:rPr>
              <w:color w:val="121D46"/>
            </w:rPr>
          </w:pPr>
          <w:r w:rsidRPr="005D4F3C">
            <w:rPr>
              <w:noProof/>
              <w:color w:val="121D46"/>
              <w:lang w:eastAsia="hu-HU"/>
            </w:rPr>
            <w:drawing>
              <wp:inline distT="0" distB="0" distL="0" distR="0" wp14:anchorId="2E193E25" wp14:editId="1971EFC7">
                <wp:extent cx="466725" cy="50482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26A31A69" w14:textId="77777777" w:rsidR="00C92D91" w:rsidRPr="005D4F3C" w:rsidRDefault="00C92D91" w:rsidP="00C92D91">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A38FAA5" w14:textId="77777777" w:rsidR="00C92D91" w:rsidRPr="005D4F3C" w:rsidRDefault="00C92D91" w:rsidP="00C92D91">
          <w:pPr>
            <w:pStyle w:val="llb"/>
            <w:jc w:val="left"/>
            <w:rPr>
              <w:rFonts w:ascii="Poppins" w:hAnsi="Poppins" w:cs="Poppins"/>
              <w:b/>
              <w:color w:val="121D46"/>
              <w:sz w:val="14"/>
              <w:szCs w:val="14"/>
            </w:rPr>
          </w:pPr>
        </w:p>
      </w:tc>
      <w:tc>
        <w:tcPr>
          <w:tcW w:w="2693" w:type="dxa"/>
        </w:tcPr>
        <w:p w14:paraId="56F4773D" w14:textId="77777777" w:rsidR="00C92D91" w:rsidRPr="005D4F3C" w:rsidRDefault="00C92D91" w:rsidP="00C92D91">
          <w:pPr>
            <w:pStyle w:val="llb"/>
            <w:rPr>
              <w:color w:val="121D46"/>
            </w:rPr>
          </w:pPr>
        </w:p>
      </w:tc>
      <w:tc>
        <w:tcPr>
          <w:tcW w:w="1134" w:type="dxa"/>
          <w:vMerge w:val="restart"/>
          <w:vAlign w:val="center"/>
        </w:tcPr>
        <w:p w14:paraId="7B8F3D31" w14:textId="77777777" w:rsidR="00C92D91" w:rsidRDefault="00C92D91" w:rsidP="00C92D91">
          <w:pPr>
            <w:pStyle w:val="llb"/>
            <w:jc w:val="left"/>
          </w:pPr>
        </w:p>
      </w:tc>
    </w:tr>
    <w:tr w:rsidR="00C92D91" w14:paraId="16B1626A" w14:textId="77777777" w:rsidTr="00757736">
      <w:trPr>
        <w:trHeight w:val="397"/>
      </w:trPr>
      <w:tc>
        <w:tcPr>
          <w:tcW w:w="1106" w:type="dxa"/>
          <w:vMerge/>
        </w:tcPr>
        <w:p w14:paraId="3CC477E7" w14:textId="77777777" w:rsidR="00C92D91" w:rsidRPr="005D4F3C" w:rsidRDefault="00C92D91" w:rsidP="00C92D91">
          <w:pPr>
            <w:pStyle w:val="llb"/>
            <w:rPr>
              <w:color w:val="121D46"/>
            </w:rPr>
          </w:pPr>
        </w:p>
      </w:tc>
      <w:tc>
        <w:tcPr>
          <w:tcW w:w="2835" w:type="dxa"/>
        </w:tcPr>
        <w:p w14:paraId="5838A3B2" w14:textId="77777777" w:rsidR="00C92D91" w:rsidRDefault="00C92D91" w:rsidP="00C92D91">
          <w:pPr>
            <w:pStyle w:val="llb"/>
            <w:rPr>
              <w:rFonts w:ascii="Planer Light" w:hAnsi="Planer Light"/>
              <w:color w:val="121D46"/>
              <w:sz w:val="14"/>
              <w:szCs w:val="14"/>
            </w:rPr>
          </w:pPr>
        </w:p>
        <w:p w14:paraId="0FECC825"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09C6FD2D" w14:textId="77777777" w:rsidR="00C92D91" w:rsidRPr="005D4F3C" w:rsidRDefault="00C92D91" w:rsidP="00C92D91">
          <w:pPr>
            <w:pStyle w:val="llb"/>
            <w:rPr>
              <w:rFonts w:ascii="Planer Light" w:hAnsi="Planer Light"/>
              <w:color w:val="121D46"/>
              <w:sz w:val="14"/>
              <w:szCs w:val="14"/>
            </w:rPr>
          </w:pPr>
          <w:r w:rsidRPr="005D4F3C">
            <w:rPr>
              <w:rFonts w:ascii="Planer Light" w:hAnsi="Planer Light"/>
              <w:color w:val="121D46"/>
              <w:sz w:val="14"/>
              <w:szCs w:val="14"/>
            </w:rPr>
            <w:t>+36 (72) 536-</w:t>
          </w:r>
          <w:r>
            <w:rPr>
              <w:rFonts w:ascii="Planer Light" w:hAnsi="Planer Light"/>
              <w:color w:val="121D46"/>
              <w:sz w:val="14"/>
              <w:szCs w:val="14"/>
            </w:rPr>
            <w:t>416</w:t>
          </w:r>
          <w:r w:rsidRPr="005D4F3C">
            <w:rPr>
              <w:rFonts w:ascii="Planer Light" w:hAnsi="Planer Light"/>
              <w:color w:val="121D46"/>
              <w:sz w:val="14"/>
              <w:szCs w:val="14"/>
            </w:rPr>
            <w:t xml:space="preserve"> /35</w:t>
          </w:r>
          <w:r>
            <w:rPr>
              <w:rFonts w:ascii="Planer Light" w:hAnsi="Planer Light"/>
              <w:color w:val="121D46"/>
              <w:sz w:val="14"/>
              <w:szCs w:val="14"/>
            </w:rPr>
            <w:t>417</w:t>
          </w:r>
        </w:p>
        <w:p w14:paraId="31EB50A2" w14:textId="77777777" w:rsidR="00C92D91" w:rsidRPr="005D4F3C" w:rsidRDefault="00C92D91" w:rsidP="00C92D91">
          <w:pPr>
            <w:pStyle w:val="llb"/>
            <w:rPr>
              <w:rFonts w:ascii="Planer Light" w:hAnsi="Planer Light"/>
              <w:color w:val="121D46"/>
              <w:sz w:val="14"/>
              <w:szCs w:val="14"/>
            </w:rPr>
          </w:pPr>
          <w:r>
            <w:rPr>
              <w:rFonts w:ascii="Planer Light" w:hAnsi="Planer Light"/>
              <w:color w:val="121D46"/>
              <w:sz w:val="14"/>
              <w:szCs w:val="14"/>
            </w:rPr>
            <w:t>marketing.kommunikacio@aok.pte.hu</w:t>
          </w:r>
        </w:p>
      </w:tc>
      <w:tc>
        <w:tcPr>
          <w:tcW w:w="1134" w:type="dxa"/>
          <w:vMerge/>
        </w:tcPr>
        <w:p w14:paraId="2B8133EA" w14:textId="77777777" w:rsidR="00C92D91" w:rsidRDefault="00C92D91" w:rsidP="00C92D91">
          <w:pPr>
            <w:pStyle w:val="llb"/>
          </w:pPr>
        </w:p>
      </w:tc>
    </w:tr>
  </w:tbl>
  <w:p w14:paraId="1566B326" w14:textId="77F3E9E2" w:rsidR="00C92D91" w:rsidRDefault="00C92D91">
    <w:pPr>
      <w:pStyle w:val="llb"/>
    </w:pPr>
    <w:r>
      <w:rPr>
        <w:noProof/>
        <w:lang w:eastAsia="hu-HU"/>
      </w:rPr>
      <w:drawing>
        <wp:anchor distT="0" distB="0" distL="114300" distR="114300" simplePos="0" relativeHeight="251662336" behindDoc="1" locked="0" layoutInCell="1" allowOverlap="1" wp14:anchorId="303E8191" wp14:editId="62C3DD6A">
          <wp:simplePos x="0" y="0"/>
          <wp:positionH relativeFrom="page">
            <wp:align>right</wp:align>
          </wp:positionH>
          <wp:positionV relativeFrom="page">
            <wp:align>bottom</wp:align>
          </wp:positionV>
          <wp:extent cx="7020000" cy="20664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1106"/>
      <w:gridCol w:w="2835"/>
      <w:gridCol w:w="2693"/>
      <w:gridCol w:w="1134"/>
    </w:tblGrid>
    <w:tr w:rsidR="002F59F3" w14:paraId="321B54FF" w14:textId="77777777" w:rsidTr="005D4F3C">
      <w:trPr>
        <w:trHeight w:val="397"/>
      </w:trPr>
      <w:tc>
        <w:tcPr>
          <w:tcW w:w="1106" w:type="dxa"/>
          <w:vMerge w:val="restart"/>
          <w:vAlign w:val="center"/>
        </w:tcPr>
        <w:p w14:paraId="05DB6680" w14:textId="77777777" w:rsidR="002F59F3" w:rsidRPr="005D4F3C" w:rsidRDefault="002F59F3" w:rsidP="002F59F3">
          <w:pPr>
            <w:pStyle w:val="llb"/>
            <w:jc w:val="left"/>
            <w:rPr>
              <w:color w:val="121D46"/>
            </w:rPr>
          </w:pPr>
          <w:r w:rsidRPr="005D4F3C">
            <w:rPr>
              <w:noProof/>
              <w:color w:val="121D46"/>
              <w:lang w:eastAsia="hu-HU"/>
            </w:rPr>
            <w:drawing>
              <wp:inline distT="0" distB="0" distL="0" distR="0" wp14:anchorId="39FFB1B6" wp14:editId="21516910">
                <wp:extent cx="466725" cy="504825"/>
                <wp:effectExtent l="0" t="0" r="9525" b="9525"/>
                <wp:docPr id="102" name="Kép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04825"/>
                        </a:xfrm>
                        <a:prstGeom prst="rect">
                          <a:avLst/>
                        </a:prstGeom>
                        <a:noFill/>
                        <a:ln>
                          <a:noFill/>
                        </a:ln>
                      </pic:spPr>
                    </pic:pic>
                  </a:graphicData>
                </a:graphic>
              </wp:inline>
            </w:drawing>
          </w:r>
        </w:p>
      </w:tc>
      <w:tc>
        <w:tcPr>
          <w:tcW w:w="2835" w:type="dxa"/>
        </w:tcPr>
        <w:p w14:paraId="4CF7DD51" w14:textId="7C1173AD" w:rsidR="002F59F3" w:rsidRPr="005D4F3C" w:rsidRDefault="000010AA" w:rsidP="005D4F3C">
          <w:pPr>
            <w:pStyle w:val="llb"/>
            <w:rPr>
              <w:rFonts w:ascii="Poppins" w:hAnsi="Poppins" w:cs="Poppins"/>
              <w:b/>
              <w:color w:val="121D46"/>
              <w:sz w:val="14"/>
              <w:szCs w:val="14"/>
            </w:rPr>
          </w:pPr>
          <w:r>
            <w:rPr>
              <w:rFonts w:ascii="Poppins" w:hAnsi="Poppins" w:cs="Poppins"/>
              <w:b/>
              <w:color w:val="121D46"/>
              <w:sz w:val="14"/>
              <w:szCs w:val="14"/>
            </w:rPr>
            <w:t>PTE ÁOK MKO PR Kommunikációs Iroda</w:t>
          </w:r>
        </w:p>
        <w:p w14:paraId="5BF25BB1" w14:textId="77777777" w:rsidR="005D4F3C" w:rsidRPr="005D4F3C" w:rsidRDefault="005D4F3C" w:rsidP="005D4F3C">
          <w:pPr>
            <w:pStyle w:val="llb"/>
            <w:jc w:val="left"/>
            <w:rPr>
              <w:rFonts w:ascii="Poppins" w:hAnsi="Poppins" w:cs="Poppins"/>
              <w:b/>
              <w:color w:val="121D46"/>
              <w:sz w:val="14"/>
              <w:szCs w:val="14"/>
            </w:rPr>
          </w:pPr>
        </w:p>
      </w:tc>
      <w:tc>
        <w:tcPr>
          <w:tcW w:w="2693" w:type="dxa"/>
        </w:tcPr>
        <w:p w14:paraId="7BB48B62" w14:textId="77777777" w:rsidR="002F59F3" w:rsidRPr="005D4F3C" w:rsidRDefault="002F59F3">
          <w:pPr>
            <w:pStyle w:val="llb"/>
            <w:rPr>
              <w:color w:val="121D46"/>
            </w:rPr>
          </w:pPr>
        </w:p>
      </w:tc>
      <w:tc>
        <w:tcPr>
          <w:tcW w:w="1134" w:type="dxa"/>
          <w:vMerge w:val="restart"/>
          <w:vAlign w:val="center"/>
        </w:tcPr>
        <w:p w14:paraId="585438FE" w14:textId="6B4A0DCF" w:rsidR="002F59F3" w:rsidRDefault="002F59F3" w:rsidP="002F59F3">
          <w:pPr>
            <w:pStyle w:val="llb"/>
            <w:jc w:val="left"/>
          </w:pPr>
        </w:p>
      </w:tc>
    </w:tr>
    <w:tr w:rsidR="002F59F3" w14:paraId="7681C567" w14:textId="77777777" w:rsidTr="005D4F3C">
      <w:trPr>
        <w:trHeight w:val="397"/>
      </w:trPr>
      <w:tc>
        <w:tcPr>
          <w:tcW w:w="1106" w:type="dxa"/>
          <w:vMerge/>
        </w:tcPr>
        <w:p w14:paraId="5D98839E" w14:textId="77777777" w:rsidR="002F59F3" w:rsidRPr="005D4F3C" w:rsidRDefault="002F59F3">
          <w:pPr>
            <w:pStyle w:val="llb"/>
            <w:rPr>
              <w:color w:val="121D46"/>
            </w:rPr>
          </w:pPr>
        </w:p>
      </w:tc>
      <w:tc>
        <w:tcPr>
          <w:tcW w:w="2835" w:type="dxa"/>
        </w:tcPr>
        <w:p w14:paraId="2CB7B532" w14:textId="77777777" w:rsidR="000010AA" w:rsidRDefault="000010AA">
          <w:pPr>
            <w:pStyle w:val="llb"/>
            <w:rPr>
              <w:rFonts w:ascii="Planer Light" w:hAnsi="Planer Light"/>
              <w:color w:val="121D46"/>
              <w:sz w:val="14"/>
              <w:szCs w:val="14"/>
            </w:rPr>
          </w:pPr>
        </w:p>
        <w:p w14:paraId="35622144" w14:textId="1ECCAA8D" w:rsidR="005D4F3C"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H-7624 Pécs, Szigeti út 12.</w:t>
          </w:r>
        </w:p>
      </w:tc>
      <w:tc>
        <w:tcPr>
          <w:tcW w:w="2693" w:type="dxa"/>
        </w:tcPr>
        <w:p w14:paraId="10A2F45D" w14:textId="4D3D3368" w:rsidR="002F59F3" w:rsidRPr="005D4F3C" w:rsidRDefault="005D4F3C">
          <w:pPr>
            <w:pStyle w:val="llb"/>
            <w:rPr>
              <w:rFonts w:ascii="Planer Light" w:hAnsi="Planer Light"/>
              <w:color w:val="121D46"/>
              <w:sz w:val="14"/>
              <w:szCs w:val="14"/>
            </w:rPr>
          </w:pPr>
          <w:r w:rsidRPr="005D4F3C">
            <w:rPr>
              <w:rFonts w:ascii="Planer Light" w:hAnsi="Planer Light"/>
              <w:color w:val="121D46"/>
              <w:sz w:val="14"/>
              <w:szCs w:val="14"/>
            </w:rPr>
            <w:t>+36 (72) 536-</w:t>
          </w:r>
          <w:r w:rsidR="000010AA">
            <w:rPr>
              <w:rFonts w:ascii="Planer Light" w:hAnsi="Planer Light"/>
              <w:color w:val="121D46"/>
              <w:sz w:val="14"/>
              <w:szCs w:val="14"/>
            </w:rPr>
            <w:t>416</w:t>
          </w:r>
          <w:r w:rsidRPr="005D4F3C">
            <w:rPr>
              <w:rFonts w:ascii="Planer Light" w:hAnsi="Planer Light"/>
              <w:color w:val="121D46"/>
              <w:sz w:val="14"/>
              <w:szCs w:val="14"/>
            </w:rPr>
            <w:t xml:space="preserve"> /35</w:t>
          </w:r>
          <w:r w:rsidR="000010AA">
            <w:rPr>
              <w:rFonts w:ascii="Planer Light" w:hAnsi="Planer Light"/>
              <w:color w:val="121D46"/>
              <w:sz w:val="14"/>
              <w:szCs w:val="14"/>
            </w:rPr>
            <w:t>417</w:t>
          </w:r>
        </w:p>
        <w:p w14:paraId="56855246" w14:textId="2E85A60A" w:rsidR="005D4F3C" w:rsidRPr="005D4F3C" w:rsidRDefault="000010AA">
          <w:pPr>
            <w:pStyle w:val="llb"/>
            <w:rPr>
              <w:rFonts w:ascii="Planer Light" w:hAnsi="Planer Light"/>
              <w:color w:val="121D46"/>
              <w:sz w:val="14"/>
              <w:szCs w:val="14"/>
            </w:rPr>
          </w:pPr>
          <w:r>
            <w:rPr>
              <w:rFonts w:ascii="Planer Light" w:hAnsi="Planer Light"/>
              <w:color w:val="121D46"/>
              <w:sz w:val="14"/>
              <w:szCs w:val="14"/>
            </w:rPr>
            <w:t>marketing.kommunikacio@aok.pte.hu</w:t>
          </w:r>
        </w:p>
      </w:tc>
      <w:tc>
        <w:tcPr>
          <w:tcW w:w="1134" w:type="dxa"/>
          <w:vMerge/>
        </w:tcPr>
        <w:p w14:paraId="53B23400" w14:textId="77777777" w:rsidR="002F59F3" w:rsidRDefault="002F59F3">
          <w:pPr>
            <w:pStyle w:val="llb"/>
          </w:pPr>
        </w:p>
      </w:tc>
    </w:tr>
  </w:tbl>
  <w:p w14:paraId="6B7F05B7" w14:textId="0E4CAE79" w:rsidR="00780B10" w:rsidRDefault="00C92D91">
    <w:pPr>
      <w:pStyle w:val="llb"/>
    </w:pPr>
    <w:r>
      <w:rPr>
        <w:noProof/>
        <w:lang w:eastAsia="hu-HU"/>
      </w:rPr>
      <w:drawing>
        <wp:anchor distT="0" distB="0" distL="114300" distR="114300" simplePos="0" relativeHeight="251660288" behindDoc="1" locked="0" layoutInCell="1" allowOverlap="1" wp14:anchorId="226A2903" wp14:editId="20CC9205">
          <wp:simplePos x="0" y="0"/>
          <wp:positionH relativeFrom="page">
            <wp:posOffset>504190</wp:posOffset>
          </wp:positionH>
          <wp:positionV relativeFrom="page">
            <wp:posOffset>10193655</wp:posOffset>
          </wp:positionV>
          <wp:extent cx="7020000" cy="206640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r w:rsidR="00780B10">
      <w:rPr>
        <w:noProof/>
        <w:lang w:eastAsia="hu-HU"/>
      </w:rPr>
      <w:drawing>
        <wp:anchor distT="0" distB="0" distL="114300" distR="114300" simplePos="0" relativeHeight="251658240" behindDoc="1" locked="0" layoutInCell="1" allowOverlap="1" wp14:anchorId="385279D8" wp14:editId="34065710">
          <wp:simplePos x="0" y="0"/>
          <wp:positionH relativeFrom="page">
            <wp:align>right</wp:align>
          </wp:positionH>
          <wp:positionV relativeFrom="page">
            <wp:align>bottom</wp:align>
          </wp:positionV>
          <wp:extent cx="7020000" cy="2066400"/>
          <wp:effectExtent l="0" t="0" r="0" b="0"/>
          <wp:wrapNone/>
          <wp:docPr id="104" name="Kép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vélpapír_alul.emf"/>
                  <pic:cNvPicPr/>
                </pic:nvPicPr>
                <pic:blipFill>
                  <a:blip r:embed="rId2">
                    <a:extLst>
                      <a:ext uri="{28A0092B-C50C-407E-A947-70E740481C1C}">
                        <a14:useLocalDpi xmlns:a14="http://schemas.microsoft.com/office/drawing/2010/main" val="0"/>
                      </a:ext>
                    </a:extLst>
                  </a:blip>
                  <a:stretch>
                    <a:fillRect/>
                  </a:stretch>
                </pic:blipFill>
                <pic:spPr>
                  <a:xfrm>
                    <a:off x="0" y="0"/>
                    <a:ext cx="7020000" cy="206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F500" w14:textId="77777777" w:rsidR="0098134E" w:rsidRDefault="0098134E" w:rsidP="00A2314E">
      <w:pPr>
        <w:spacing w:after="0" w:line="240" w:lineRule="auto"/>
      </w:pPr>
      <w:r>
        <w:separator/>
      </w:r>
    </w:p>
  </w:footnote>
  <w:footnote w:type="continuationSeparator" w:id="0">
    <w:p w14:paraId="3AA5A260" w14:textId="77777777" w:rsidR="0098134E" w:rsidRDefault="0098134E" w:rsidP="00A2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C92D91" w14:paraId="6EF6E31F" w14:textId="77777777" w:rsidTr="00757736">
      <w:trPr>
        <w:trHeight w:val="556"/>
      </w:trPr>
      <w:tc>
        <w:tcPr>
          <w:tcW w:w="1361" w:type="dxa"/>
          <w:vMerge w:val="restart"/>
          <w:vAlign w:val="center"/>
        </w:tcPr>
        <w:p w14:paraId="0ABDF428" w14:textId="77777777" w:rsidR="00C92D91" w:rsidRDefault="00C92D91" w:rsidP="00C92D91">
          <w:pPr>
            <w:jc w:val="left"/>
          </w:pPr>
          <w:r w:rsidRPr="000E132E">
            <w:rPr>
              <w:noProof/>
              <w:lang w:eastAsia="hu-HU"/>
            </w:rPr>
            <w:drawing>
              <wp:inline distT="0" distB="0" distL="0" distR="0" wp14:anchorId="080DDF9E" wp14:editId="1748569D">
                <wp:extent cx="704850" cy="7048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344C521D" w14:textId="77777777" w:rsidR="00C92D91" w:rsidRDefault="00C92D91" w:rsidP="00C92D91">
          <w:pPr>
            <w:jc w:val="right"/>
          </w:pPr>
          <w:r>
            <w:rPr>
              <w:rFonts w:ascii="Optima CE" w:hAnsi="Optima CE" w:cstheme="minorHAnsi"/>
              <w:b/>
              <w:caps/>
              <w:color w:val="121D46"/>
              <w:sz w:val="18"/>
              <w:szCs w:val="18"/>
            </w:rPr>
            <w:t>Pécsi Tudományegyetem Általános Orvostudományi kar</w:t>
          </w:r>
        </w:p>
      </w:tc>
    </w:tr>
    <w:tr w:rsidR="00C92D91" w14:paraId="21D87504" w14:textId="77777777" w:rsidTr="00757736">
      <w:trPr>
        <w:trHeight w:val="556"/>
      </w:trPr>
      <w:tc>
        <w:tcPr>
          <w:tcW w:w="1361" w:type="dxa"/>
          <w:vMerge/>
        </w:tcPr>
        <w:p w14:paraId="10740C22" w14:textId="77777777" w:rsidR="00C92D91" w:rsidRDefault="00C92D91" w:rsidP="00C92D91"/>
      </w:tc>
      <w:tc>
        <w:tcPr>
          <w:tcW w:w="8957" w:type="dxa"/>
          <w:tcBorders>
            <w:top w:val="single" w:sz="8" w:space="0" w:color="9DA8C4"/>
          </w:tcBorders>
          <w:tcMar>
            <w:top w:w="57" w:type="dxa"/>
          </w:tcMar>
        </w:tcPr>
        <w:p w14:paraId="4F022F2B" w14:textId="77777777" w:rsidR="00C92D91" w:rsidRPr="000E132E" w:rsidRDefault="00C92D91" w:rsidP="00C92D91">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16B1D69F" w14:textId="77777777" w:rsidR="00C92D91" w:rsidRPr="00C92D91" w:rsidRDefault="00C92D91" w:rsidP="00C92D91">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61"/>
      <w:gridCol w:w="8957"/>
    </w:tblGrid>
    <w:tr w:rsidR="00010D0F" w14:paraId="740E3296" w14:textId="77777777" w:rsidTr="00A318D6">
      <w:trPr>
        <w:trHeight w:val="556"/>
      </w:trPr>
      <w:tc>
        <w:tcPr>
          <w:tcW w:w="1361" w:type="dxa"/>
          <w:vMerge w:val="restart"/>
          <w:vAlign w:val="center"/>
        </w:tcPr>
        <w:p w14:paraId="0F36B0C8" w14:textId="77777777" w:rsidR="00010D0F" w:rsidRDefault="00010D0F" w:rsidP="00010D0F">
          <w:pPr>
            <w:jc w:val="left"/>
          </w:pPr>
          <w:r w:rsidRPr="000E132E">
            <w:rPr>
              <w:noProof/>
              <w:lang w:eastAsia="hu-HU"/>
            </w:rPr>
            <w:drawing>
              <wp:inline distT="0" distB="0" distL="0" distR="0" wp14:anchorId="6DC00E41" wp14:editId="7BEFCFB1">
                <wp:extent cx="704850" cy="704850"/>
                <wp:effectExtent l="0" t="0" r="0" b="0"/>
                <wp:docPr id="106" name="Kép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957" w:type="dxa"/>
          <w:tcBorders>
            <w:bottom w:val="single" w:sz="8" w:space="0" w:color="9DA8C4"/>
          </w:tcBorders>
          <w:tcMar>
            <w:bottom w:w="57" w:type="dxa"/>
          </w:tcMar>
          <w:vAlign w:val="bottom"/>
        </w:tcPr>
        <w:p w14:paraId="4028B0AA" w14:textId="3CA1A174" w:rsidR="00010D0F" w:rsidRDefault="00010D0F" w:rsidP="00010D0F">
          <w:pPr>
            <w:jc w:val="right"/>
          </w:pPr>
          <w:r>
            <w:rPr>
              <w:rFonts w:ascii="Optima CE" w:hAnsi="Optima CE" w:cstheme="minorHAnsi"/>
              <w:b/>
              <w:caps/>
              <w:color w:val="121D46"/>
              <w:sz w:val="18"/>
              <w:szCs w:val="18"/>
            </w:rPr>
            <w:t xml:space="preserve">Pécsi Tudományegyetem </w:t>
          </w:r>
          <w:r w:rsidR="000010AA">
            <w:rPr>
              <w:rFonts w:ascii="Optima CE" w:hAnsi="Optima CE" w:cstheme="minorHAnsi"/>
              <w:b/>
              <w:caps/>
              <w:color w:val="121D46"/>
              <w:sz w:val="18"/>
              <w:szCs w:val="18"/>
            </w:rPr>
            <w:t>Általános Orvostudományi kar</w:t>
          </w:r>
        </w:p>
      </w:tc>
    </w:tr>
    <w:tr w:rsidR="00010D0F" w14:paraId="35B6D76F" w14:textId="77777777" w:rsidTr="00A318D6">
      <w:trPr>
        <w:trHeight w:val="556"/>
      </w:trPr>
      <w:tc>
        <w:tcPr>
          <w:tcW w:w="1361" w:type="dxa"/>
          <w:vMerge/>
        </w:tcPr>
        <w:p w14:paraId="5FB7939C" w14:textId="77777777" w:rsidR="00010D0F" w:rsidRDefault="00010D0F" w:rsidP="00010D0F"/>
      </w:tc>
      <w:tc>
        <w:tcPr>
          <w:tcW w:w="8957" w:type="dxa"/>
          <w:tcBorders>
            <w:top w:val="single" w:sz="8" w:space="0" w:color="9DA8C4"/>
          </w:tcBorders>
          <w:tcMar>
            <w:top w:w="57" w:type="dxa"/>
          </w:tcMar>
        </w:tcPr>
        <w:p w14:paraId="20A6AFE6" w14:textId="7B508CEE" w:rsidR="00010D0F" w:rsidRPr="000E132E" w:rsidRDefault="000010AA" w:rsidP="00010D0F">
          <w:pPr>
            <w:jc w:val="right"/>
            <w:rPr>
              <w:rFonts w:ascii="Optima CE" w:hAnsi="Optima CE" w:cstheme="minorHAnsi"/>
              <w:b/>
              <w:caps/>
              <w:color w:val="121D46"/>
              <w:sz w:val="18"/>
              <w:szCs w:val="18"/>
            </w:rPr>
          </w:pPr>
          <w:r>
            <w:rPr>
              <w:rFonts w:ascii="Optima CE" w:hAnsi="Optima CE" w:cstheme="minorHAnsi"/>
              <w:b/>
              <w:caps/>
              <w:color w:val="121D46"/>
              <w:sz w:val="18"/>
              <w:szCs w:val="18"/>
            </w:rPr>
            <w:t>Marketing és Kommunikációs Osztály, PR Kommunikációs Iroda</w:t>
          </w:r>
        </w:p>
      </w:tc>
    </w:tr>
  </w:tbl>
  <w:p w14:paraId="42737EBD" w14:textId="77777777" w:rsidR="00010D0F" w:rsidRPr="00010D0F" w:rsidRDefault="00010D0F">
    <w:pPr>
      <w:pStyle w:val="lfej"/>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076"/>
    <w:multiLevelType w:val="hybridMultilevel"/>
    <w:tmpl w:val="ADB815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E061FE"/>
    <w:multiLevelType w:val="hybridMultilevel"/>
    <w:tmpl w:val="2786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7E9751C"/>
    <w:multiLevelType w:val="hybridMultilevel"/>
    <w:tmpl w:val="EF2C0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90567E3"/>
    <w:multiLevelType w:val="hybridMultilevel"/>
    <w:tmpl w:val="5CAA5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02318464">
    <w:abstractNumId w:val="3"/>
  </w:num>
  <w:num w:numId="2" w16cid:durableId="45836413">
    <w:abstractNumId w:val="1"/>
  </w:num>
  <w:num w:numId="3" w16cid:durableId="2086494405">
    <w:abstractNumId w:val="2"/>
  </w:num>
  <w:num w:numId="4" w16cid:durableId="116080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4E"/>
    <w:rsid w:val="000010AA"/>
    <w:rsid w:val="00010D0F"/>
    <w:rsid w:val="000244DF"/>
    <w:rsid w:val="000E132E"/>
    <w:rsid w:val="000E3C46"/>
    <w:rsid w:val="002F59F3"/>
    <w:rsid w:val="00305B3A"/>
    <w:rsid w:val="00591C71"/>
    <w:rsid w:val="005D4F3C"/>
    <w:rsid w:val="0070644A"/>
    <w:rsid w:val="00780B10"/>
    <w:rsid w:val="008A7175"/>
    <w:rsid w:val="0094590F"/>
    <w:rsid w:val="00973FC9"/>
    <w:rsid w:val="0098134E"/>
    <w:rsid w:val="00A2314E"/>
    <w:rsid w:val="00A61B96"/>
    <w:rsid w:val="00A852B9"/>
    <w:rsid w:val="00B25ACD"/>
    <w:rsid w:val="00C92D91"/>
    <w:rsid w:val="00E16B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FB423"/>
  <w15:chartTrackingRefBased/>
  <w15:docId w15:val="{4544397C-9D2C-45CF-940F-4518BED7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10D0F"/>
    <w:pPr>
      <w:jc w:val="both"/>
    </w:pPr>
    <w:rPr>
      <w:rFonts w:ascii="Poppins Light" w:hAnsi="Poppins Ligh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2314E"/>
    <w:pPr>
      <w:tabs>
        <w:tab w:val="center" w:pos="4536"/>
        <w:tab w:val="right" w:pos="9072"/>
      </w:tabs>
      <w:spacing w:after="0" w:line="240" w:lineRule="auto"/>
    </w:pPr>
  </w:style>
  <w:style w:type="character" w:customStyle="1" w:styleId="lfejChar">
    <w:name w:val="Élőfej Char"/>
    <w:basedOn w:val="Bekezdsalapbettpusa"/>
    <w:link w:val="lfej"/>
    <w:uiPriority w:val="99"/>
    <w:rsid w:val="00A2314E"/>
  </w:style>
  <w:style w:type="paragraph" w:styleId="llb">
    <w:name w:val="footer"/>
    <w:basedOn w:val="Norml"/>
    <w:link w:val="llbChar"/>
    <w:uiPriority w:val="99"/>
    <w:unhideWhenUsed/>
    <w:rsid w:val="00A2314E"/>
    <w:pPr>
      <w:tabs>
        <w:tab w:val="center" w:pos="4536"/>
        <w:tab w:val="right" w:pos="9072"/>
      </w:tabs>
      <w:spacing w:after="0" w:line="240" w:lineRule="auto"/>
    </w:pPr>
  </w:style>
  <w:style w:type="character" w:customStyle="1" w:styleId="llbChar">
    <w:name w:val="Élőláb Char"/>
    <w:basedOn w:val="Bekezdsalapbettpusa"/>
    <w:link w:val="llb"/>
    <w:uiPriority w:val="99"/>
    <w:rsid w:val="00A2314E"/>
  </w:style>
  <w:style w:type="table" w:styleId="Rcsostblzat">
    <w:name w:val="Table Grid"/>
    <w:basedOn w:val="Normltblzat"/>
    <w:uiPriority w:val="39"/>
    <w:rsid w:val="002F5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010D0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10D0F"/>
    <w:rPr>
      <w:rFonts w:ascii="Segoe UI" w:hAnsi="Segoe UI" w:cs="Segoe UI"/>
      <w:sz w:val="18"/>
      <w:szCs w:val="18"/>
    </w:rPr>
  </w:style>
  <w:style w:type="paragraph" w:styleId="Listaszerbekezds">
    <w:name w:val="List Paragraph"/>
    <w:basedOn w:val="Norml"/>
    <w:uiPriority w:val="34"/>
    <w:qFormat/>
    <w:rsid w:val="000010AA"/>
    <w:pPr>
      <w:spacing w:after="200" w:line="276" w:lineRule="auto"/>
      <w:ind w:left="720"/>
      <w:contextualSpacing/>
      <w:jc w:val="left"/>
    </w:pPr>
    <w:rPr>
      <w:rFonts w:asciiTheme="minorHAnsi" w:hAnsiTheme="minorHAnsi"/>
    </w:rPr>
  </w:style>
  <w:style w:type="character" w:styleId="Hiperhivatkozs">
    <w:name w:val="Hyperlink"/>
    <w:basedOn w:val="Bekezdsalapbettpusa"/>
    <w:uiPriority w:val="99"/>
    <w:unhideWhenUsed/>
    <w:rsid w:val="00A61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4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k.pte.hu/hu/hirek/hir/155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minusplus.architecture/posts/pfbid028C8kEun3HFywRb5vXHkpXvcbeXJMhLxKKF7owmD3skaEwV5vSNZmcbjRDhk8gFmx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4793</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Czulák Szilvia</dc:creator>
  <cp:keywords/>
  <dc:description/>
  <cp:lastModifiedBy>Harta Viktor</cp:lastModifiedBy>
  <cp:revision>3</cp:revision>
  <cp:lastPrinted>2021-06-10T12:02:00Z</cp:lastPrinted>
  <dcterms:created xsi:type="dcterms:W3CDTF">2023-07-05T07:13:00Z</dcterms:created>
  <dcterms:modified xsi:type="dcterms:W3CDTF">2023-07-05T07:16:00Z</dcterms:modified>
</cp:coreProperties>
</file>