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344D" w14:textId="723137C6" w:rsidR="00A9425B" w:rsidRPr="0008619C" w:rsidRDefault="00A9425B" w:rsidP="0008619C">
      <w:pPr>
        <w:jc w:val="left"/>
        <w:rPr>
          <w:rFonts w:cs="Poppins Light"/>
          <w:b/>
          <w:bCs/>
          <w:sz w:val="20"/>
          <w:szCs w:val="20"/>
        </w:rPr>
      </w:pPr>
      <w:r w:rsidRPr="0008619C">
        <w:rPr>
          <w:rFonts w:cs="Poppins Light"/>
          <w:b/>
          <w:bCs/>
          <w:sz w:val="20"/>
          <w:szCs w:val="20"/>
        </w:rPr>
        <w:t>Távprogramozás és őssejtterápia: ígéretes új eszközök a Parkinson-kór elleni harcban</w:t>
      </w:r>
    </w:p>
    <w:p w14:paraId="77487230" w14:textId="031EBFA0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b/>
          <w:bCs/>
          <w:sz w:val="20"/>
          <w:szCs w:val="20"/>
        </w:rPr>
        <w:t>Egy</w:t>
      </w:r>
      <w:r w:rsidR="0008619C">
        <w:rPr>
          <w:rFonts w:cs="Poppins Light"/>
          <w:b/>
          <w:bCs/>
          <w:sz w:val="20"/>
          <w:szCs w:val="20"/>
        </w:rPr>
        <w:t>,</w:t>
      </w:r>
      <w:r w:rsidRPr="0008619C">
        <w:rPr>
          <w:rFonts w:cs="Poppins Light"/>
          <w:b/>
          <w:bCs/>
          <w:sz w:val="20"/>
          <w:szCs w:val="20"/>
        </w:rPr>
        <w:t xml:space="preserve"> az egész régióban úttörő újításnak hála a </w:t>
      </w:r>
      <w:r w:rsidR="00715C7B">
        <w:rPr>
          <w:rFonts w:cs="Poppins Light"/>
          <w:b/>
          <w:bCs/>
          <w:sz w:val="20"/>
          <w:szCs w:val="20"/>
        </w:rPr>
        <w:t xml:space="preserve">Pécsi Tudományegyetem Klinikai Központ (PTE KK) </w:t>
      </w:r>
      <w:r w:rsidRPr="0008619C">
        <w:rPr>
          <w:rFonts w:cs="Poppins Light"/>
          <w:b/>
          <w:bCs/>
          <w:sz w:val="20"/>
          <w:szCs w:val="20"/>
        </w:rPr>
        <w:t>Neurológiai Kliniká</w:t>
      </w:r>
      <w:r w:rsidR="00715C7B">
        <w:rPr>
          <w:rFonts w:cs="Poppins Light"/>
          <w:b/>
          <w:bCs/>
          <w:sz w:val="20"/>
          <w:szCs w:val="20"/>
        </w:rPr>
        <w:t>já</w:t>
      </w:r>
      <w:r w:rsidRPr="0008619C">
        <w:rPr>
          <w:rFonts w:cs="Poppins Light"/>
          <w:b/>
          <w:bCs/>
          <w:sz w:val="20"/>
          <w:szCs w:val="20"/>
        </w:rPr>
        <w:t xml:space="preserve">n már távolról is elvégezhető a Parkinson-kór kezelésében kulcsfontosságú agyi stimuláció programozása, amivel több ezer beteg életét könnyítik meg. Az új eljárásokra nagy szükség is van, miután a rettegett betegség világszerte rohamosan terjed. Dr. Kovács Norberttel, a PTE </w:t>
      </w:r>
      <w:r w:rsidR="00715C7B">
        <w:rPr>
          <w:rFonts w:cs="Poppins Light"/>
          <w:b/>
          <w:bCs/>
          <w:sz w:val="20"/>
          <w:szCs w:val="20"/>
        </w:rPr>
        <w:t xml:space="preserve">KK </w:t>
      </w:r>
      <w:r w:rsidRPr="0008619C">
        <w:rPr>
          <w:rFonts w:cs="Poppins Light"/>
          <w:b/>
          <w:bCs/>
          <w:sz w:val="20"/>
          <w:szCs w:val="20"/>
        </w:rPr>
        <w:t>Neurológiai Klinikáj</w:t>
      </w:r>
      <w:r w:rsidR="00650660">
        <w:rPr>
          <w:rFonts w:cs="Poppins Light"/>
          <w:b/>
          <w:bCs/>
          <w:sz w:val="20"/>
          <w:szCs w:val="20"/>
        </w:rPr>
        <w:t>ának</w:t>
      </w:r>
      <w:r w:rsidRPr="0008619C">
        <w:rPr>
          <w:rFonts w:cs="Poppins Light"/>
          <w:b/>
          <w:bCs/>
          <w:sz w:val="20"/>
          <w:szCs w:val="20"/>
        </w:rPr>
        <w:t xml:space="preserve"> professzorával többek között a „Parkinson pandémia” okairól és a reményt adó új terápiákról beszélgettünk.</w:t>
      </w:r>
    </w:p>
    <w:p w14:paraId="244B030D" w14:textId="063DD157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sz w:val="20"/>
          <w:szCs w:val="20"/>
        </w:rPr>
        <w:t xml:space="preserve">Egyre kevésbé mondható ritkának, és egyre kevésbé csak az idősek betegsége a fokozatosan romló mozgással és kézügyességgel, járászavarral, illetve hangulati zavarokkal járó Parkinson-kór. </w:t>
      </w:r>
      <w:r w:rsidRPr="0008619C">
        <w:rPr>
          <w:rFonts w:cs="Poppins Light"/>
          <w:b/>
          <w:bCs/>
          <w:sz w:val="20"/>
          <w:szCs w:val="20"/>
        </w:rPr>
        <w:t>1990 és 2015 között világszerte duplájára nőtt a Parkinsonnal küzdő betegek száma</w:t>
      </w:r>
      <w:r w:rsidRPr="0008619C">
        <w:rPr>
          <w:rFonts w:cs="Poppins Light"/>
          <w:sz w:val="20"/>
          <w:szCs w:val="20"/>
        </w:rPr>
        <w:t xml:space="preserve">, </w:t>
      </w:r>
      <w:r w:rsidRPr="0008619C">
        <w:rPr>
          <w:rFonts w:cs="Poppins Light"/>
          <w:b/>
          <w:bCs/>
          <w:sz w:val="20"/>
          <w:szCs w:val="20"/>
        </w:rPr>
        <w:t>és számuk 2040-re meghaladhatja a 12 milliót</w:t>
      </w:r>
      <w:r w:rsidRPr="0008619C">
        <w:rPr>
          <w:rFonts w:cs="Poppins Light"/>
          <w:sz w:val="20"/>
          <w:szCs w:val="20"/>
        </w:rPr>
        <w:t xml:space="preserve">, amivel a leggyorsabban növekvő </w:t>
      </w:r>
      <w:proofErr w:type="spellStart"/>
      <w:r w:rsidRPr="0008619C">
        <w:rPr>
          <w:rFonts w:cs="Poppins Light"/>
          <w:sz w:val="20"/>
          <w:szCs w:val="20"/>
        </w:rPr>
        <w:t>neurodegeneratív</w:t>
      </w:r>
      <w:proofErr w:type="spellEnd"/>
      <w:r w:rsidRPr="0008619C">
        <w:rPr>
          <w:rFonts w:cs="Poppins Light"/>
          <w:sz w:val="20"/>
          <w:szCs w:val="20"/>
        </w:rPr>
        <w:t xml:space="preserve">, azaz az idegsejtek folyamatos pusztulásával járó betegségnek számít. </w:t>
      </w:r>
    </w:p>
    <w:p w14:paraId="3D2F10C6" w14:textId="0C94B0AE" w:rsidR="00A9425B" w:rsidRPr="0008619C" w:rsidRDefault="00A9425B" w:rsidP="0008619C">
      <w:pPr>
        <w:jc w:val="left"/>
        <w:rPr>
          <w:rFonts w:cs="Poppins Light"/>
          <w:b/>
          <w:bCs/>
          <w:sz w:val="20"/>
          <w:szCs w:val="20"/>
        </w:rPr>
      </w:pPr>
      <w:r w:rsidRPr="0008619C">
        <w:rPr>
          <w:rFonts w:cs="Poppins Light"/>
          <w:b/>
          <w:bCs/>
          <w:sz w:val="20"/>
          <w:szCs w:val="20"/>
        </w:rPr>
        <w:t>Már a fiatalokra is lecsap</w:t>
      </w:r>
    </w:p>
    <w:p w14:paraId="7ED11E42" w14:textId="3F4AADEC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i/>
          <w:iCs/>
          <w:sz w:val="20"/>
          <w:szCs w:val="20"/>
        </w:rPr>
        <w:t xml:space="preserve">„Bár a Parkinson-kór a mai napig elsősorban a 60 év feletti korosztályt sújtja, </w:t>
      </w:r>
      <w:r w:rsidRPr="0008619C">
        <w:rPr>
          <w:rFonts w:cs="Poppins Light"/>
          <w:b/>
          <w:bCs/>
          <w:i/>
          <w:iCs/>
          <w:sz w:val="20"/>
          <w:szCs w:val="20"/>
        </w:rPr>
        <w:t>egyre több</w:t>
      </w:r>
      <w:r w:rsidRPr="0008619C">
        <w:rPr>
          <w:rFonts w:cs="Poppins Light"/>
          <w:i/>
          <w:iCs/>
          <w:sz w:val="20"/>
          <w:szCs w:val="20"/>
        </w:rPr>
        <w:t xml:space="preserve"> ennél jóval </w:t>
      </w:r>
      <w:r w:rsidRPr="0008619C">
        <w:rPr>
          <w:rFonts w:cs="Poppins Light"/>
          <w:b/>
          <w:bCs/>
          <w:i/>
          <w:iCs/>
          <w:sz w:val="20"/>
          <w:szCs w:val="20"/>
        </w:rPr>
        <w:t>fiatalabb beteggel találkozunk</w:t>
      </w:r>
      <w:r w:rsidRPr="0008619C">
        <w:rPr>
          <w:rFonts w:cs="Poppins Light"/>
          <w:i/>
          <w:iCs/>
          <w:sz w:val="20"/>
          <w:szCs w:val="20"/>
        </w:rPr>
        <w:t xml:space="preserve">. A klinikánkon gondozott betegek több mint 10 százaléka 50 év alatti, míg a 60 év alattiak aránya 24 százalék. Ez az életkori eloszlás is jól mutatja, hogy egy </w:t>
      </w:r>
      <w:r w:rsidRPr="0008619C">
        <w:rPr>
          <w:rFonts w:cs="Poppins Light"/>
          <w:b/>
          <w:bCs/>
          <w:i/>
          <w:iCs/>
          <w:sz w:val="20"/>
          <w:szCs w:val="20"/>
        </w:rPr>
        <w:t>jelentős részük az aktív és munkaképes korosztályból kerül ki.</w:t>
      </w:r>
      <w:r w:rsidRPr="0008619C">
        <w:rPr>
          <w:rFonts w:cs="Poppins Light"/>
          <w:i/>
          <w:iCs/>
          <w:sz w:val="20"/>
          <w:szCs w:val="20"/>
        </w:rPr>
        <w:t xml:space="preserve"> Azaz a </w:t>
      </w:r>
      <w:proofErr w:type="spellStart"/>
      <w:r w:rsidRPr="0008619C">
        <w:rPr>
          <w:rFonts w:cs="Poppins Light"/>
          <w:i/>
          <w:iCs/>
          <w:sz w:val="20"/>
          <w:szCs w:val="20"/>
        </w:rPr>
        <w:t>parkinsonos</w:t>
      </w:r>
      <w:proofErr w:type="spellEnd"/>
      <w:r w:rsidRPr="0008619C">
        <w:rPr>
          <w:rFonts w:cs="Poppins Light"/>
          <w:i/>
          <w:iCs/>
          <w:sz w:val="20"/>
          <w:szCs w:val="20"/>
        </w:rPr>
        <w:t xml:space="preserve"> betegek számának emelkedése nem csak az egyre inkább idősödő társadalommal magyarázható, hanem sajnos egyéb okok is vannak a háttérben”</w:t>
      </w:r>
      <w:r w:rsidRPr="0008619C">
        <w:rPr>
          <w:rFonts w:cs="Poppins Light"/>
          <w:sz w:val="20"/>
          <w:szCs w:val="20"/>
        </w:rPr>
        <w:t xml:space="preserve"> – sorolja az aggasztó tényeket dr. Kovács Norbert, a PTE Neurológiai Klinikájának igazgató-helyettese, egyben a Magyar Tudományos Parkinson Társaság elnöke.</w:t>
      </w:r>
    </w:p>
    <w:p w14:paraId="2D1AB4E9" w14:textId="2EFEFEBE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sz w:val="20"/>
          <w:szCs w:val="20"/>
        </w:rPr>
        <w:t xml:space="preserve">A szakértők által </w:t>
      </w:r>
      <w:r w:rsidRPr="0008619C">
        <w:rPr>
          <w:rFonts w:cs="Poppins Light"/>
          <w:b/>
          <w:bCs/>
          <w:sz w:val="20"/>
          <w:szCs w:val="20"/>
        </w:rPr>
        <w:t>„Parkinson pandémiának”</w:t>
      </w:r>
      <w:r w:rsidRPr="0008619C">
        <w:rPr>
          <w:rFonts w:cs="Poppins Light"/>
          <w:sz w:val="20"/>
          <w:szCs w:val="20"/>
        </w:rPr>
        <w:t xml:space="preserve"> nevezett jelenség </w:t>
      </w:r>
      <w:r w:rsidRPr="0008619C">
        <w:rPr>
          <w:rFonts w:cs="Poppins Light"/>
          <w:b/>
          <w:bCs/>
          <w:sz w:val="20"/>
          <w:szCs w:val="20"/>
        </w:rPr>
        <w:t>egyik fő oka</w:t>
      </w:r>
      <w:r w:rsidRPr="0008619C">
        <w:rPr>
          <w:rFonts w:cs="Poppins Light"/>
          <w:sz w:val="20"/>
          <w:szCs w:val="20"/>
        </w:rPr>
        <w:t xml:space="preserve"> minden bizonnyal a </w:t>
      </w:r>
      <w:r w:rsidRPr="0008619C">
        <w:rPr>
          <w:rFonts w:cs="Poppins Light"/>
          <w:b/>
          <w:bCs/>
          <w:sz w:val="20"/>
          <w:szCs w:val="20"/>
        </w:rPr>
        <w:t>környezetszennyezés</w:t>
      </w:r>
      <w:r w:rsidRPr="0008619C">
        <w:rPr>
          <w:rFonts w:cs="Poppins Light"/>
          <w:sz w:val="20"/>
          <w:szCs w:val="20"/>
        </w:rPr>
        <w:t xml:space="preserve">, miután a szervezetünkbe jutó vegyi anyagok az idegsejteket is károsíthatják. </w:t>
      </w:r>
      <w:r w:rsidRPr="0008619C">
        <w:rPr>
          <w:rFonts w:cs="Poppins Light"/>
          <w:i/>
          <w:iCs/>
          <w:sz w:val="20"/>
          <w:szCs w:val="20"/>
        </w:rPr>
        <w:t>„Sok olyan viszonylag fiatal betegünk van, akik különböző növényvédő szerekkel vagy oldószerekkel dolgoztak, esetükben elképzelhető, hogy erre vezethető vissza a betegség kialakulása, de nemzetközileg olyan eset is ismert, amikor egy katonai támaszpont ivóvizébe került bele valamilyen vegyi anyag, és az ott szolgálók között később ugrásszerűen megnőtt a betegek aránya”</w:t>
      </w:r>
      <w:r w:rsidRPr="0008619C">
        <w:rPr>
          <w:rFonts w:cs="Poppins Light"/>
          <w:sz w:val="20"/>
          <w:szCs w:val="20"/>
        </w:rPr>
        <w:t xml:space="preserve"> – hoz példákat a szakértő. </w:t>
      </w:r>
    </w:p>
    <w:p w14:paraId="7E4A9BC7" w14:textId="077F87DC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sz w:val="20"/>
          <w:szCs w:val="20"/>
        </w:rPr>
        <w:t xml:space="preserve">A kiváltó okok pontos meghatározását megnehezíti az a valószínűleg nem túl ismert tény, hogy a tünetek megjelenésének idejére a betegség akár évtizedek óta károsítja az idegsejteket, miután </w:t>
      </w:r>
      <w:r w:rsidRPr="00D2268D">
        <w:rPr>
          <w:rFonts w:cs="Poppins Light"/>
          <w:b/>
          <w:bCs/>
          <w:sz w:val="20"/>
          <w:szCs w:val="20"/>
        </w:rPr>
        <w:t>a kór többnyire az emésztőrendszerben indul, és onnan lassan terjed át az agyra</w:t>
      </w:r>
      <w:r w:rsidRPr="0008619C">
        <w:rPr>
          <w:rFonts w:cs="Poppins Light"/>
          <w:sz w:val="20"/>
          <w:szCs w:val="20"/>
        </w:rPr>
        <w:t xml:space="preserve">. Még ezután is </w:t>
      </w:r>
      <w:r w:rsidRPr="00D2268D">
        <w:rPr>
          <w:rFonts w:cs="Poppins Light"/>
          <w:b/>
          <w:bCs/>
          <w:sz w:val="20"/>
          <w:szCs w:val="20"/>
        </w:rPr>
        <w:t>több évig tart a tünetek megjelenése</w:t>
      </w:r>
      <w:r w:rsidRPr="0008619C">
        <w:rPr>
          <w:rFonts w:cs="Poppins Light"/>
          <w:sz w:val="20"/>
          <w:szCs w:val="20"/>
        </w:rPr>
        <w:t>, miután agyunk hősiesen kompenzálja az elpusztult idegsejteket.</w:t>
      </w:r>
    </w:p>
    <w:p w14:paraId="35F1217D" w14:textId="428BA550" w:rsidR="00A9425B" w:rsidRPr="0008619C" w:rsidRDefault="00A9425B" w:rsidP="0008619C">
      <w:pPr>
        <w:jc w:val="left"/>
        <w:rPr>
          <w:rFonts w:cs="Poppins Light"/>
          <w:b/>
          <w:bCs/>
          <w:sz w:val="20"/>
          <w:szCs w:val="20"/>
        </w:rPr>
      </w:pPr>
      <w:r w:rsidRPr="0008619C">
        <w:rPr>
          <w:rFonts w:cs="Poppins Light"/>
          <w:b/>
          <w:bCs/>
          <w:sz w:val="20"/>
          <w:szCs w:val="20"/>
        </w:rPr>
        <w:t>Gyógyíthatatlan, ám már nem reménytelen</w:t>
      </w:r>
    </w:p>
    <w:p w14:paraId="243DD459" w14:textId="0251D638" w:rsidR="00A9425B" w:rsidRPr="0008619C" w:rsidRDefault="00A9425B" w:rsidP="0008619C">
      <w:pPr>
        <w:jc w:val="left"/>
        <w:rPr>
          <w:rFonts w:cs="Poppins Light"/>
          <w:b/>
          <w:bCs/>
          <w:sz w:val="20"/>
          <w:szCs w:val="20"/>
        </w:rPr>
      </w:pPr>
      <w:r w:rsidRPr="0008619C">
        <w:rPr>
          <w:rFonts w:cs="Poppins Light"/>
          <w:sz w:val="20"/>
          <w:szCs w:val="20"/>
        </w:rPr>
        <w:t>Bár a Parkinson-kór pontos okát mai napig nem ismerni, és a sejtpusztulás jelenlegi tudásunkkal nem visszafordítható</w:t>
      </w:r>
      <w:r w:rsidRPr="0008619C">
        <w:rPr>
          <w:rFonts w:cs="Poppins Light"/>
          <w:b/>
          <w:bCs/>
          <w:sz w:val="20"/>
          <w:szCs w:val="20"/>
        </w:rPr>
        <w:t>, egyre több olyan terápia van, amelyek révén hosszabb időre is lehetséges a panaszok mérséklése</w:t>
      </w:r>
      <w:r w:rsidRPr="0008619C">
        <w:rPr>
          <w:rFonts w:cs="Poppins Light"/>
          <w:sz w:val="20"/>
          <w:szCs w:val="20"/>
        </w:rPr>
        <w:t xml:space="preserve">, illetve akár a teljes panaszmentesség elérése. Ezek közül </w:t>
      </w:r>
      <w:r w:rsidRPr="0008619C">
        <w:rPr>
          <w:rFonts w:cs="Poppins Light"/>
          <w:b/>
          <w:bCs/>
          <w:sz w:val="20"/>
          <w:szCs w:val="20"/>
        </w:rPr>
        <w:t>az egyik legfontosabb az</w:t>
      </w:r>
      <w:r w:rsidRPr="0008619C">
        <w:rPr>
          <w:rFonts w:cs="Poppins Light"/>
          <w:sz w:val="20"/>
          <w:szCs w:val="20"/>
        </w:rPr>
        <w:t xml:space="preserve"> </w:t>
      </w:r>
      <w:r w:rsidRPr="0008619C">
        <w:rPr>
          <w:rFonts w:cs="Poppins Light"/>
          <w:sz w:val="20"/>
          <w:szCs w:val="20"/>
        </w:rPr>
        <w:lastRenderedPageBreak/>
        <w:t xml:space="preserve">úgynevezett </w:t>
      </w:r>
      <w:r w:rsidRPr="0008619C">
        <w:rPr>
          <w:rFonts w:cs="Poppins Light"/>
          <w:b/>
          <w:bCs/>
          <w:sz w:val="20"/>
          <w:szCs w:val="20"/>
        </w:rPr>
        <w:t>agyi stimuláció</w:t>
      </w:r>
      <w:r w:rsidRPr="0008619C">
        <w:rPr>
          <w:rFonts w:cs="Poppins Light"/>
          <w:sz w:val="20"/>
          <w:szCs w:val="20"/>
        </w:rPr>
        <w:t xml:space="preserve">, amely keretében elektródákat helyeznek az agy mélyebb rétegeiben elhelyezkedő magokba, és ezek modulálják a tüneteket okozó kóros agyi működést. </w:t>
      </w:r>
      <w:r w:rsidRPr="0008619C">
        <w:rPr>
          <w:rFonts w:cs="Poppins Light"/>
          <w:b/>
          <w:bCs/>
          <w:sz w:val="20"/>
          <w:szCs w:val="20"/>
        </w:rPr>
        <w:t xml:space="preserve">A módszer magyarországi bevezetésében úttörő szerepet játszó pécsi klinikán 2001 óta végeznek ilyen beavatkozásokat, amelynek köszönhetően mára óriási mennyiségű adat gyűlt össze. </w:t>
      </w:r>
    </w:p>
    <w:p w14:paraId="1803847E" w14:textId="1893C1E4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sz w:val="20"/>
          <w:szCs w:val="20"/>
        </w:rPr>
        <w:t xml:space="preserve">Ennek azért is nagy jelentősége van, mert a betegség előrehaladtával és az újabb idegsejtek pusztulásával szükségessé válik a stimuláció „finomhangolása”. </w:t>
      </w:r>
      <w:r w:rsidRPr="0008619C">
        <w:rPr>
          <w:rFonts w:cs="Poppins Light"/>
          <w:b/>
          <w:bCs/>
          <w:sz w:val="20"/>
          <w:szCs w:val="20"/>
        </w:rPr>
        <w:t>Az egész kelet-közel európai régióban először Pécsett vált elérhetővé 2022 augusztusában az a távprogramozási eljárás</w:t>
      </w:r>
      <w:r w:rsidRPr="0008619C">
        <w:rPr>
          <w:rFonts w:cs="Poppins Light"/>
          <w:sz w:val="20"/>
          <w:szCs w:val="20"/>
        </w:rPr>
        <w:t xml:space="preserve">, amely révén akár </w:t>
      </w:r>
      <w:r w:rsidRPr="00D2268D">
        <w:rPr>
          <w:rFonts w:cs="Poppins Light"/>
          <w:b/>
          <w:bCs/>
          <w:sz w:val="20"/>
          <w:szCs w:val="20"/>
        </w:rPr>
        <w:t>több száz kilométer távolságból elvégezhetőek a szükséges finomhangolások</w:t>
      </w:r>
      <w:r w:rsidRPr="0008619C">
        <w:rPr>
          <w:rFonts w:cs="Poppins Light"/>
          <w:sz w:val="20"/>
          <w:szCs w:val="20"/>
        </w:rPr>
        <w:t xml:space="preserve">. Mindez azt jelenti, </w:t>
      </w:r>
      <w:r w:rsidRPr="00D2268D">
        <w:rPr>
          <w:rFonts w:cs="Poppins Light"/>
          <w:b/>
          <w:bCs/>
          <w:sz w:val="20"/>
          <w:szCs w:val="20"/>
        </w:rPr>
        <w:t xml:space="preserve">hogy a beteg tüneteit, azok esetleges romlását egy online konzultáció keretében lehet ellenőrizni, majd egy alkalmazás segítségével valós időben végzik el a beültetett </w:t>
      </w:r>
      <w:proofErr w:type="spellStart"/>
      <w:r w:rsidRPr="00D2268D">
        <w:rPr>
          <w:rFonts w:cs="Poppins Light"/>
          <w:b/>
          <w:bCs/>
          <w:sz w:val="20"/>
          <w:szCs w:val="20"/>
        </w:rPr>
        <w:t>stimulátor</w:t>
      </w:r>
      <w:proofErr w:type="spellEnd"/>
      <w:r w:rsidRPr="00D2268D">
        <w:rPr>
          <w:rFonts w:cs="Poppins Light"/>
          <w:b/>
          <w:bCs/>
          <w:sz w:val="20"/>
          <w:szCs w:val="20"/>
        </w:rPr>
        <w:t xml:space="preserve"> programozását</w:t>
      </w:r>
      <w:r w:rsidRPr="0008619C">
        <w:rPr>
          <w:rFonts w:cs="Poppins Light"/>
          <w:sz w:val="20"/>
          <w:szCs w:val="20"/>
        </w:rPr>
        <w:t xml:space="preserve">. Mindezzel több órás utak spórolhatóak meg, amely mind az idős, sok esetben korlátozott mobilitású, mind a fiatalabb, nem egy esetben még munkaképes betegek számára nagy könnyebbséget jelent. </w:t>
      </w:r>
    </w:p>
    <w:p w14:paraId="17FD8A3B" w14:textId="77820D5C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sz w:val="20"/>
          <w:szCs w:val="20"/>
        </w:rPr>
        <w:t xml:space="preserve">A komoly műtétet igénylő mélyagyi stimuláción kívül </w:t>
      </w:r>
      <w:r w:rsidRPr="008A2A3B">
        <w:rPr>
          <w:rFonts w:cs="Poppins Light"/>
          <w:b/>
          <w:bCs/>
          <w:sz w:val="20"/>
          <w:szCs w:val="20"/>
        </w:rPr>
        <w:t>egyre több kisebb beavatkozással járó terápia válik elérhetővé</w:t>
      </w:r>
      <w:r w:rsidRPr="0008619C">
        <w:rPr>
          <w:rFonts w:cs="Poppins Light"/>
          <w:sz w:val="20"/>
          <w:szCs w:val="20"/>
        </w:rPr>
        <w:t>. Ezek közé tartozik például</w:t>
      </w:r>
      <w:r w:rsidRPr="008A2A3B">
        <w:rPr>
          <w:rFonts w:cs="Poppins Light"/>
          <w:b/>
          <w:bCs/>
          <w:sz w:val="20"/>
          <w:szCs w:val="20"/>
        </w:rPr>
        <w:t xml:space="preserve"> a betegség tüneteit csökkentő hatóanyagok bőr alá ültetett pumpa révén történő adagolása</w:t>
      </w:r>
      <w:r w:rsidRPr="0008619C">
        <w:rPr>
          <w:rFonts w:cs="Poppins Light"/>
          <w:sz w:val="20"/>
          <w:szCs w:val="20"/>
        </w:rPr>
        <w:t>, amely jelentősen meghosszabbíthatja a gyógyszeres kezeléssel elérhető panaszmentes időtartamot. Az idő pedig végre nem csak a betegségnek dolgozik.</w:t>
      </w:r>
    </w:p>
    <w:p w14:paraId="45D19A47" w14:textId="6CCA9D7C" w:rsidR="00A9425B" w:rsidRPr="0008619C" w:rsidRDefault="00A9425B" w:rsidP="0008619C">
      <w:pPr>
        <w:jc w:val="left"/>
        <w:rPr>
          <w:rFonts w:cs="Poppins Light"/>
          <w:sz w:val="20"/>
          <w:szCs w:val="20"/>
        </w:rPr>
      </w:pPr>
      <w:r w:rsidRPr="0008619C">
        <w:rPr>
          <w:rFonts w:cs="Poppins Light"/>
          <w:i/>
          <w:iCs/>
          <w:sz w:val="20"/>
          <w:szCs w:val="20"/>
        </w:rPr>
        <w:t>„</w:t>
      </w:r>
      <w:r w:rsidRPr="00E55F46">
        <w:rPr>
          <w:rFonts w:cs="Poppins Light"/>
          <w:b/>
          <w:bCs/>
          <w:i/>
          <w:iCs/>
          <w:sz w:val="20"/>
          <w:szCs w:val="20"/>
        </w:rPr>
        <w:t>Több új gyógyszer is elérhetővé vált, illetve várható a közeljövőben</w:t>
      </w:r>
      <w:r w:rsidRPr="0008619C">
        <w:rPr>
          <w:rFonts w:cs="Poppins Light"/>
          <w:i/>
          <w:iCs/>
          <w:sz w:val="20"/>
          <w:szCs w:val="20"/>
        </w:rPr>
        <w:t xml:space="preserve">. Ezek egyikét jó ideje használják már a cukorbetegség kezelésére, és nemrég derült fény arra, hogy a Parkinson-kór esetében lassíthatja a betegség előrehaladását. Emellett </w:t>
      </w:r>
      <w:r w:rsidRPr="00E55F46">
        <w:rPr>
          <w:rFonts w:cs="Poppins Light"/>
          <w:b/>
          <w:bCs/>
          <w:i/>
          <w:iCs/>
          <w:sz w:val="20"/>
          <w:szCs w:val="20"/>
        </w:rPr>
        <w:t>több olyan ígéretes gyógyszerkísérlet is zajlik, amelyek az idegsejtpusztulás megállítására, lassítására irányulnak, és új lendületet kaptak az őssejtterápiával kapcsolatos kutatások is</w:t>
      </w:r>
      <w:r w:rsidRPr="0008619C">
        <w:rPr>
          <w:rFonts w:cs="Poppins Light"/>
          <w:i/>
          <w:iCs/>
          <w:sz w:val="20"/>
          <w:szCs w:val="20"/>
        </w:rPr>
        <w:t>, amely talán néhány éven belül reális opció lehet. Természetesen a Parkinson-kór ma is súlyos betegség, ám a benne szenvedők részére reménykedésre ad okot, hogy állapotuk megőrzésén túl a közeljövőben annak javítására és a gyógyulásra is lehetőség nyílhat”</w:t>
      </w:r>
      <w:r w:rsidRPr="0008619C">
        <w:rPr>
          <w:rFonts w:cs="Poppins Light"/>
          <w:sz w:val="20"/>
          <w:szCs w:val="20"/>
        </w:rPr>
        <w:t xml:space="preserve"> – összegez Kovács Norbert.</w:t>
      </w:r>
    </w:p>
    <w:p w14:paraId="15185E2D" w14:textId="28E695FF" w:rsidR="00A9425B" w:rsidRDefault="00A9425B" w:rsidP="0008619C">
      <w:pPr>
        <w:jc w:val="left"/>
        <w:rPr>
          <w:rFonts w:cs="Poppins Light"/>
          <w:sz w:val="20"/>
          <w:szCs w:val="20"/>
        </w:rPr>
      </w:pPr>
    </w:p>
    <w:p w14:paraId="31151D2C" w14:textId="38B58361" w:rsidR="0008619C" w:rsidRPr="00E55F46" w:rsidRDefault="0008619C" w:rsidP="0008619C">
      <w:pPr>
        <w:jc w:val="left"/>
        <w:rPr>
          <w:rFonts w:cs="Poppins Light"/>
          <w:i/>
          <w:iCs/>
          <w:sz w:val="20"/>
          <w:szCs w:val="20"/>
        </w:rPr>
      </w:pPr>
      <w:r w:rsidRPr="00E55F46">
        <w:rPr>
          <w:rFonts w:cs="Poppins Light"/>
          <w:i/>
          <w:iCs/>
          <w:sz w:val="20"/>
          <w:szCs w:val="20"/>
        </w:rPr>
        <w:t>Kapcsolat, interjúkérés:</w:t>
      </w:r>
    </w:p>
    <w:p w14:paraId="2C6203F3" w14:textId="711E9943" w:rsidR="0008619C" w:rsidRPr="00E55F46" w:rsidRDefault="0008619C" w:rsidP="0008619C">
      <w:pPr>
        <w:jc w:val="left"/>
        <w:rPr>
          <w:rFonts w:cs="Poppins Light"/>
          <w:i/>
          <w:iCs/>
          <w:sz w:val="20"/>
          <w:szCs w:val="20"/>
        </w:rPr>
      </w:pPr>
      <w:r w:rsidRPr="00E55F46">
        <w:rPr>
          <w:rFonts w:cs="Poppins Light"/>
          <w:i/>
          <w:iCs/>
          <w:sz w:val="20"/>
          <w:szCs w:val="20"/>
        </w:rPr>
        <w:t>Harta Viktor</w:t>
      </w:r>
      <w:r w:rsidR="00E55F46" w:rsidRPr="00E55F46">
        <w:rPr>
          <w:rFonts w:cs="Poppins Light"/>
          <w:i/>
          <w:iCs/>
          <w:sz w:val="20"/>
          <w:szCs w:val="20"/>
        </w:rPr>
        <w:t xml:space="preserve">, </w:t>
      </w:r>
      <w:r w:rsidRPr="00E55F46">
        <w:rPr>
          <w:rFonts w:cs="Poppins Light"/>
          <w:i/>
          <w:iCs/>
          <w:sz w:val="20"/>
          <w:szCs w:val="20"/>
        </w:rPr>
        <w:t>PTE ÁOK PR és Kommunikációs Iroda</w:t>
      </w:r>
    </w:p>
    <w:p w14:paraId="2A6ECF6A" w14:textId="053D9203" w:rsidR="0008619C" w:rsidRPr="00E55F46" w:rsidRDefault="00E55F46" w:rsidP="0008619C">
      <w:pPr>
        <w:jc w:val="left"/>
        <w:rPr>
          <w:rFonts w:cs="Poppins Light"/>
          <w:i/>
          <w:iCs/>
          <w:sz w:val="20"/>
          <w:szCs w:val="20"/>
        </w:rPr>
      </w:pPr>
      <w:r w:rsidRPr="00E55F46">
        <w:rPr>
          <w:rFonts w:cs="Poppins Light"/>
          <w:i/>
          <w:iCs/>
          <w:sz w:val="20"/>
          <w:szCs w:val="20"/>
        </w:rPr>
        <w:t xml:space="preserve">Email: </w:t>
      </w:r>
      <w:hyperlink r:id="rId8" w:history="1">
        <w:r w:rsidR="00715C7B" w:rsidRPr="00B821F6">
          <w:rPr>
            <w:rStyle w:val="Hiperhivatkozs"/>
            <w:rFonts w:cs="Poppins Light"/>
            <w:i/>
            <w:iCs/>
            <w:sz w:val="20"/>
            <w:szCs w:val="20"/>
          </w:rPr>
          <w:t>viktor.harta@aok.pte.hu</w:t>
        </w:r>
      </w:hyperlink>
      <w:r w:rsidR="00715C7B">
        <w:rPr>
          <w:rFonts w:cs="Poppins Light"/>
          <w:i/>
          <w:iCs/>
          <w:sz w:val="20"/>
          <w:szCs w:val="20"/>
        </w:rPr>
        <w:t xml:space="preserve"> </w:t>
      </w:r>
      <w:r w:rsidRPr="00E55F46">
        <w:rPr>
          <w:rFonts w:cs="Poppins Light"/>
          <w:i/>
          <w:iCs/>
          <w:sz w:val="20"/>
          <w:szCs w:val="20"/>
        </w:rPr>
        <w:br/>
        <w:t xml:space="preserve">Telefon: </w:t>
      </w:r>
      <w:r w:rsidR="0008619C" w:rsidRPr="00E55F46">
        <w:rPr>
          <w:rFonts w:cs="Poppins Light"/>
          <w:i/>
          <w:iCs/>
          <w:sz w:val="20"/>
          <w:szCs w:val="20"/>
        </w:rPr>
        <w:t>+36304898385</w:t>
      </w:r>
    </w:p>
    <w:p w14:paraId="0606D56E" w14:textId="2D542AD7" w:rsidR="00316594" w:rsidRPr="0008619C" w:rsidRDefault="00316594" w:rsidP="0008619C">
      <w:pPr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08619C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00DF" w14:textId="77777777" w:rsidR="001D4507" w:rsidRDefault="001D4507" w:rsidP="00A2314E">
      <w:pPr>
        <w:spacing w:after="0" w:line="240" w:lineRule="auto"/>
      </w:pPr>
      <w:r>
        <w:separator/>
      </w:r>
    </w:p>
  </w:endnote>
  <w:endnote w:type="continuationSeparator" w:id="0">
    <w:p w14:paraId="53C01B07" w14:textId="77777777" w:rsidR="001D4507" w:rsidRDefault="001D4507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9C8F" w14:textId="77777777" w:rsidR="001D4507" w:rsidRDefault="001D4507" w:rsidP="00A2314E">
      <w:pPr>
        <w:spacing w:after="0" w:line="240" w:lineRule="auto"/>
      </w:pPr>
      <w:r>
        <w:separator/>
      </w:r>
    </w:p>
  </w:footnote>
  <w:footnote w:type="continuationSeparator" w:id="0">
    <w:p w14:paraId="4724698C" w14:textId="77777777" w:rsidR="001D4507" w:rsidRDefault="001D4507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49493">
    <w:abstractNumId w:val="7"/>
  </w:num>
  <w:num w:numId="2" w16cid:durableId="823083223">
    <w:abstractNumId w:val="3"/>
  </w:num>
  <w:num w:numId="3" w16cid:durableId="2115130253">
    <w:abstractNumId w:val="6"/>
  </w:num>
  <w:num w:numId="4" w16cid:durableId="186794385">
    <w:abstractNumId w:val="0"/>
  </w:num>
  <w:num w:numId="5" w16cid:durableId="923605679">
    <w:abstractNumId w:val="10"/>
  </w:num>
  <w:num w:numId="6" w16cid:durableId="1247035690">
    <w:abstractNumId w:val="4"/>
  </w:num>
  <w:num w:numId="7" w16cid:durableId="294411865">
    <w:abstractNumId w:val="1"/>
  </w:num>
  <w:num w:numId="8" w16cid:durableId="1980066872">
    <w:abstractNumId w:val="5"/>
  </w:num>
  <w:num w:numId="9" w16cid:durableId="876891533">
    <w:abstractNumId w:val="2"/>
  </w:num>
  <w:num w:numId="10" w16cid:durableId="1203597314">
    <w:abstractNumId w:val="8"/>
  </w:num>
  <w:num w:numId="11" w16cid:durableId="425736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8619C"/>
    <w:rsid w:val="000D38CB"/>
    <w:rsid w:val="000E132E"/>
    <w:rsid w:val="000E3C46"/>
    <w:rsid w:val="001017CC"/>
    <w:rsid w:val="00126B77"/>
    <w:rsid w:val="00156ABF"/>
    <w:rsid w:val="001B4B7E"/>
    <w:rsid w:val="001D4507"/>
    <w:rsid w:val="002C0EC3"/>
    <w:rsid w:val="002F1A74"/>
    <w:rsid w:val="002F59F3"/>
    <w:rsid w:val="00305B3A"/>
    <w:rsid w:val="00316594"/>
    <w:rsid w:val="004027E2"/>
    <w:rsid w:val="00420B5A"/>
    <w:rsid w:val="00426DE9"/>
    <w:rsid w:val="00537D65"/>
    <w:rsid w:val="00582C94"/>
    <w:rsid w:val="00591C71"/>
    <w:rsid w:val="005D27F5"/>
    <w:rsid w:val="005D4F3C"/>
    <w:rsid w:val="005F3F90"/>
    <w:rsid w:val="00650660"/>
    <w:rsid w:val="006B0529"/>
    <w:rsid w:val="0070644A"/>
    <w:rsid w:val="007103C4"/>
    <w:rsid w:val="00715C7B"/>
    <w:rsid w:val="007737DF"/>
    <w:rsid w:val="00780B10"/>
    <w:rsid w:val="007819E5"/>
    <w:rsid w:val="007973D5"/>
    <w:rsid w:val="0082295A"/>
    <w:rsid w:val="008265B6"/>
    <w:rsid w:val="00851507"/>
    <w:rsid w:val="00884ED3"/>
    <w:rsid w:val="008A2A3B"/>
    <w:rsid w:val="008A3DC0"/>
    <w:rsid w:val="008B28B6"/>
    <w:rsid w:val="0094590F"/>
    <w:rsid w:val="0095348C"/>
    <w:rsid w:val="00973FC9"/>
    <w:rsid w:val="009A5B70"/>
    <w:rsid w:val="009D4CD3"/>
    <w:rsid w:val="00A2314E"/>
    <w:rsid w:val="00A37B13"/>
    <w:rsid w:val="00A435C3"/>
    <w:rsid w:val="00A852B9"/>
    <w:rsid w:val="00A9425B"/>
    <w:rsid w:val="00A97506"/>
    <w:rsid w:val="00AF4BBC"/>
    <w:rsid w:val="00B25ACD"/>
    <w:rsid w:val="00B678EC"/>
    <w:rsid w:val="00B72027"/>
    <w:rsid w:val="00BD1845"/>
    <w:rsid w:val="00C76E86"/>
    <w:rsid w:val="00C92D91"/>
    <w:rsid w:val="00CB798D"/>
    <w:rsid w:val="00CD62CE"/>
    <w:rsid w:val="00D02D1D"/>
    <w:rsid w:val="00D2268D"/>
    <w:rsid w:val="00D47262"/>
    <w:rsid w:val="00D76350"/>
    <w:rsid w:val="00D85D80"/>
    <w:rsid w:val="00DA7168"/>
    <w:rsid w:val="00DF7D6A"/>
    <w:rsid w:val="00E16B0D"/>
    <w:rsid w:val="00E2176F"/>
    <w:rsid w:val="00E55F46"/>
    <w:rsid w:val="00E66C37"/>
    <w:rsid w:val="00E85352"/>
    <w:rsid w:val="00EE683B"/>
    <w:rsid w:val="00F04D1E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.harta@aok.p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8</cp:revision>
  <cp:lastPrinted>2021-06-10T12:02:00Z</cp:lastPrinted>
  <dcterms:created xsi:type="dcterms:W3CDTF">2023-06-02T09:52:00Z</dcterms:created>
  <dcterms:modified xsi:type="dcterms:W3CDTF">2023-06-08T07:55:00Z</dcterms:modified>
</cp:coreProperties>
</file>