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3025" w14:textId="77777777" w:rsidR="00610165" w:rsidRDefault="00610165" w:rsidP="00610165">
      <w:pPr>
        <w:pStyle w:val="NormlWeb"/>
        <w:jc w:val="center"/>
      </w:pPr>
      <w:r>
        <w:rPr>
          <w:b/>
          <w:bCs/>
          <w:color w:val="000000"/>
        </w:rPr>
        <w:t>Pécsett jött létre az ország első pacemaker- és ICD távambulanciája</w:t>
      </w:r>
    </w:p>
    <w:p w14:paraId="1421AF1F" w14:textId="77777777" w:rsidR="00610165" w:rsidRDefault="00610165" w:rsidP="00610165">
      <w:pPr>
        <w:pStyle w:val="NormlWeb"/>
      </w:pPr>
      <w:r>
        <w:rPr>
          <w:b/>
          <w:bCs/>
          <w:color w:val="000000"/>
        </w:rPr>
        <w:t xml:space="preserve">Magyarországon elsőként a PTE Szívgyógyászati Klinikáján ültettek be telemetriás ICD-t 2003-ban, húsz évvel később pedig újabb újítás áll a betegellátás szolgálatába: a Szívgyógyászati Klinika, a Sürgősségi Orvostani Tanszék és a </w:t>
      </w:r>
      <w:proofErr w:type="spellStart"/>
      <w:r>
        <w:rPr>
          <w:b/>
          <w:bCs/>
          <w:color w:val="000000"/>
        </w:rPr>
        <w:t>Medtronic</w:t>
      </w:r>
      <w:proofErr w:type="spellEnd"/>
      <w:r>
        <w:rPr>
          <w:b/>
          <w:bCs/>
          <w:color w:val="000000"/>
        </w:rPr>
        <w:t xml:space="preserve"> Hungária Kft. közreműködésének köszönhetően létrejött az ország első pacemaker- és ICD távambulanciája.</w:t>
      </w:r>
    </w:p>
    <w:p w14:paraId="6B4802D0" w14:textId="77777777" w:rsidR="00610165" w:rsidRDefault="00610165" w:rsidP="00610165">
      <w:pPr>
        <w:pStyle w:val="NormlWeb"/>
      </w:pPr>
      <w:r>
        <w:rPr>
          <w:color w:val="000000"/>
        </w:rPr>
        <w:t>Az ICD (</w:t>
      </w:r>
      <w:proofErr w:type="spellStart"/>
      <w:r>
        <w:t>implantálható</w:t>
      </w:r>
      <w:proofErr w:type="spellEnd"/>
      <w:r>
        <w:t xml:space="preserve"> </w:t>
      </w:r>
      <w:proofErr w:type="spellStart"/>
      <w:r>
        <w:t>cardioverter</w:t>
      </w:r>
      <w:proofErr w:type="spellEnd"/>
      <w:r>
        <w:t xml:space="preserve"> </w:t>
      </w:r>
      <w:proofErr w:type="spellStart"/>
      <w:r>
        <w:t>defibrillátor</w:t>
      </w:r>
      <w:proofErr w:type="spellEnd"/>
      <w:r>
        <w:t xml:space="preserve">) egy speciális pacemaker, ami nemcsak a lassú szívműködés kivédésére képes, hanem az igen magas pulzusszámmal járó, életveszélyes szívritmuszavarok megszüntetésére is alkalmas. Felépítését tekintve a pacemakerekhez hasonlóan egy generátorból és a hozzá csatlakoztatott elektródákból áll. A bőr alá ültetett generátor azonban nagyobb méretű a hagyományos pacemakerekhez képest, illetve az elektróda is összetettebb felépítésű. </w:t>
      </w:r>
    </w:p>
    <w:p w14:paraId="44A0DB80" w14:textId="77777777" w:rsidR="00610165" w:rsidRDefault="00610165" w:rsidP="00610165">
      <w:pPr>
        <w:pStyle w:val="NormlWeb"/>
      </w:pPr>
      <w:r>
        <w:rPr>
          <w:color w:val="000000"/>
        </w:rPr>
        <w:t>„</w:t>
      </w:r>
      <w:r>
        <w:rPr>
          <w:i/>
          <w:iCs/>
          <w:color w:val="000000"/>
        </w:rPr>
        <w:t xml:space="preserve">A pacemakerrel és az ICD-vel élők távmonitorozása hosszú múltra tekint vissza a pécsi klinikán, mára már mintegy 700 beteget tudunk teleambuláns keretek között ellenőrizni. Vizsgálni tudjuk a készülék beállításait, a generátor állapotát, rendelkezésre állnak automata mérési eredmények, továbbá látjuk az esetleges ritmuszavarokat is” </w:t>
      </w:r>
      <w:r>
        <w:rPr>
          <w:color w:val="000000"/>
        </w:rPr>
        <w:t xml:space="preserve">- nyilatkozta dr. </w:t>
      </w:r>
      <w:proofErr w:type="spellStart"/>
      <w:r>
        <w:rPr>
          <w:color w:val="000000"/>
        </w:rPr>
        <w:t>Vilmányi</w:t>
      </w:r>
      <w:proofErr w:type="spellEnd"/>
      <w:r>
        <w:rPr>
          <w:color w:val="000000"/>
        </w:rPr>
        <w:t xml:space="preserve"> Gábor rezidens orvos, a pacemaker munkacsoport tagja.</w:t>
      </w:r>
    </w:p>
    <w:p w14:paraId="6A1193BD" w14:textId="77777777" w:rsidR="00610165" w:rsidRDefault="00610165" w:rsidP="00610165">
      <w:pPr>
        <w:pStyle w:val="NormlWeb"/>
      </w:pPr>
      <w:r>
        <w:rPr>
          <w:color w:val="000000"/>
        </w:rPr>
        <w:t xml:space="preserve">Mint mondta, a PTE Sürgősségi Betegellátó Osztályára telepített rendszer újítása, hogy a gyártó minden pacemakerét és ICD-jét automata módon ellenőrizni lehet, így a beteg mozgatása nélkül tudják segíteni a sürgősségin dolgozók munkáját. A szolgáltatást azok a páciensek is igénybe vehetik, akik nem rendelkeznek saját távmonitor egységgel. A rendszer legnagyobb előnye, hogy a vizsgálat nem igényel semmilyen különleges képzettséget, teljesen automatizált, így azok is hasznos információkhoz juthatnak, akik egyáltalán nem foglalkoznak pacemaker- vagy ICD-terápiával. </w:t>
      </w:r>
    </w:p>
    <w:p w14:paraId="3F5DBC7C" w14:textId="77777777" w:rsidR="00610165" w:rsidRDefault="00610165" w:rsidP="00610165">
      <w:pPr>
        <w:pStyle w:val="NormlWeb"/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Medtronic</w:t>
      </w:r>
      <w:proofErr w:type="spellEnd"/>
      <w:r>
        <w:rPr>
          <w:color w:val="000000"/>
        </w:rPr>
        <w:t xml:space="preserve"> egyedi </w:t>
      </w:r>
      <w:proofErr w:type="spellStart"/>
      <w:r>
        <w:rPr>
          <w:color w:val="000000"/>
        </w:rPr>
        <w:t>távmonitorozó</w:t>
      </w:r>
      <w:proofErr w:type="spellEnd"/>
      <w:r>
        <w:rPr>
          <w:color w:val="000000"/>
        </w:rPr>
        <w:t xml:space="preserve"> rendszere nagy segítség lehet ismeretlen eredetű rosszullétek, eszméletvesztések hátterében álló ritmuszavarok regisztrálásában, de akár a készülék-diszfunkciók kizárására is alkalmas lehet. A berendezés segítségével az orvosok gyorsabban tudnak diagnózishoz jutni, megrövidítve a várakozási időt, javítva ezzel a betegek elégedettségét, és nem utolsósorban gyorsan kiküszöbölhetők a potenciálisan életveszélyes szituációk is. </w:t>
      </w:r>
    </w:p>
    <w:p w14:paraId="0A14C06F" w14:textId="77777777" w:rsidR="00610165" w:rsidRDefault="00610165" w:rsidP="00610165">
      <w:pPr>
        <w:pStyle w:val="NormlWeb"/>
      </w:pPr>
      <w:r>
        <w:rPr>
          <w:color w:val="000000"/>
        </w:rPr>
        <w:t>A próbaidőszak során szerzett pozitív tapasztalatok alapján tervezik a távambuláns hálózat kibővítését is.</w:t>
      </w:r>
    </w:p>
    <w:p w14:paraId="59271E91" w14:textId="2284E761" w:rsidR="00610165" w:rsidRDefault="00610165" w:rsidP="00610165">
      <w:pPr>
        <w:pStyle w:val="NormlWeb"/>
        <w:rPr>
          <w:color w:val="000000"/>
        </w:rPr>
      </w:pPr>
      <w:r>
        <w:rPr>
          <w:color w:val="000000"/>
        </w:rPr>
        <w:t>„</w:t>
      </w:r>
      <w:r>
        <w:rPr>
          <w:i/>
          <w:iCs/>
          <w:color w:val="000000"/>
        </w:rPr>
        <w:t xml:space="preserve">Büszkék vagyunk arra, hogy a VDD-pacemaker, a telemetriás ICD, és korunk leginnovatívabb </w:t>
      </w:r>
      <w:proofErr w:type="spellStart"/>
      <w:r>
        <w:rPr>
          <w:i/>
          <w:iCs/>
          <w:color w:val="000000"/>
        </w:rPr>
        <w:t>reszinkronizációs</w:t>
      </w:r>
      <w:proofErr w:type="spellEnd"/>
      <w:r>
        <w:rPr>
          <w:i/>
          <w:iCs/>
          <w:color w:val="000000"/>
        </w:rPr>
        <w:t xml:space="preserve"> kezelésének (LOT-CRT) a meghonosítását követően a telemedicina területén is tudunk újat mutatni. Bízunk abban, hogy Magyarország egyik legnagyobb pacemaker- és ICD centrumaként tovább tudjuk növelni gondozott betegeik biztonságát és elégedettségét”</w:t>
      </w:r>
      <w:r>
        <w:rPr>
          <w:color w:val="000000"/>
        </w:rPr>
        <w:t xml:space="preserve"> - tette hozzá dr. </w:t>
      </w:r>
      <w:proofErr w:type="spellStart"/>
      <w:r>
        <w:rPr>
          <w:color w:val="000000"/>
        </w:rPr>
        <w:t>Vilmányi</w:t>
      </w:r>
      <w:proofErr w:type="spellEnd"/>
      <w:r>
        <w:rPr>
          <w:color w:val="000000"/>
        </w:rPr>
        <w:t xml:space="preserve"> Gábor.</w:t>
      </w:r>
    </w:p>
    <w:p w14:paraId="5FAD477B" w14:textId="159C3252" w:rsidR="00610165" w:rsidRDefault="00610165" w:rsidP="00610165">
      <w:pPr>
        <w:pStyle w:val="NormlWeb"/>
        <w:rPr>
          <w:color w:val="000000"/>
        </w:rPr>
      </w:pPr>
    </w:p>
    <w:p w14:paraId="19F8F561" w14:textId="77777777" w:rsidR="00610165" w:rsidRDefault="00610165" w:rsidP="00610165">
      <w:pPr>
        <w:pStyle w:val="NormlWeb"/>
        <w:rPr>
          <w:color w:val="000000"/>
        </w:rPr>
      </w:pPr>
      <w:r>
        <w:rPr>
          <w:color w:val="000000"/>
        </w:rPr>
        <w:t xml:space="preserve">További információ kérhető: </w:t>
      </w:r>
    </w:p>
    <w:p w14:paraId="2D90009E" w14:textId="0E92349C" w:rsidR="00610165" w:rsidRPr="00610165" w:rsidRDefault="00610165" w:rsidP="00610165">
      <w:pPr>
        <w:pStyle w:val="NormlWeb"/>
        <w:rPr>
          <w:color w:val="000000"/>
        </w:rPr>
      </w:pPr>
      <w:r>
        <w:rPr>
          <w:color w:val="000000"/>
        </w:rPr>
        <w:t xml:space="preserve">Dr. </w:t>
      </w:r>
      <w:proofErr w:type="spellStart"/>
      <w:r>
        <w:rPr>
          <w:color w:val="000000"/>
        </w:rPr>
        <w:t>Vilmányi</w:t>
      </w:r>
      <w:proofErr w:type="spellEnd"/>
      <w:r>
        <w:rPr>
          <w:color w:val="000000"/>
        </w:rPr>
        <w:t xml:space="preserve"> Gábor, </w:t>
      </w:r>
      <w:r>
        <w:t>30/6169101 </w:t>
      </w:r>
    </w:p>
    <w:p w14:paraId="4CCC7C03" w14:textId="77777777" w:rsidR="00610165" w:rsidRDefault="00610165" w:rsidP="00610165">
      <w:pPr>
        <w:pStyle w:val="NormlWeb"/>
        <w:spacing w:after="240"/>
      </w:pPr>
    </w:p>
    <w:p w14:paraId="5BBE6909" w14:textId="77777777" w:rsidR="00610165" w:rsidRDefault="00610165" w:rsidP="00610165">
      <w:pPr>
        <w:pStyle w:val="NormlWeb"/>
        <w:spacing w:after="240"/>
      </w:pPr>
    </w:p>
    <w:p w14:paraId="32D07854" w14:textId="77777777" w:rsidR="00610165" w:rsidRDefault="00610165" w:rsidP="00610165">
      <w:pPr>
        <w:pStyle w:val="NormlWeb"/>
        <w:spacing w:after="240"/>
      </w:pPr>
    </w:p>
    <w:p w14:paraId="02A5043D" w14:textId="77777777" w:rsidR="00610165" w:rsidRDefault="00610165" w:rsidP="00610165">
      <w:pPr>
        <w:pStyle w:val="NormlWeb"/>
        <w:spacing w:after="240"/>
      </w:pPr>
    </w:p>
    <w:p w14:paraId="0FA043D9" w14:textId="77777777" w:rsidR="00610165" w:rsidRDefault="00610165" w:rsidP="00610165">
      <w:pPr>
        <w:pStyle w:val="NormlWeb"/>
        <w:spacing w:after="240"/>
      </w:pPr>
    </w:p>
    <w:p w14:paraId="7C4A27C4" w14:textId="0B68FE76" w:rsidR="00E16B0D" w:rsidRPr="00FD2673" w:rsidRDefault="00E16B0D" w:rsidP="00FD2673">
      <w:pPr>
        <w:jc w:val="left"/>
        <w:rPr>
          <w:rFonts w:cs="Poppins Light"/>
          <w:i/>
          <w:iCs/>
          <w:sz w:val="18"/>
          <w:szCs w:val="18"/>
          <w:u w:val="single"/>
        </w:rPr>
      </w:pPr>
    </w:p>
    <w:sectPr w:rsidR="00E16B0D" w:rsidRPr="00FD2673" w:rsidSect="00010D0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77B85" w14:textId="77777777" w:rsidR="00C263D1" w:rsidRDefault="00C263D1" w:rsidP="00A2314E">
      <w:pPr>
        <w:spacing w:after="0" w:line="240" w:lineRule="auto"/>
      </w:pPr>
      <w:r>
        <w:separator/>
      </w:r>
    </w:p>
  </w:endnote>
  <w:endnote w:type="continuationSeparator" w:id="0">
    <w:p w14:paraId="43D5F683" w14:textId="77777777" w:rsidR="00C263D1" w:rsidRDefault="00C263D1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oppins Light">
    <w:altName w:val="Poppins Light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Planer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C92D91" w14:paraId="412B7F6E" w14:textId="77777777" w:rsidTr="00757736">
      <w:trPr>
        <w:trHeight w:val="397"/>
      </w:trPr>
      <w:tc>
        <w:tcPr>
          <w:tcW w:w="1106" w:type="dxa"/>
          <w:vMerge w:val="restart"/>
          <w:vAlign w:val="center"/>
        </w:tcPr>
        <w:p w14:paraId="688DE550" w14:textId="77777777" w:rsidR="00C92D91" w:rsidRPr="005D4F3C" w:rsidRDefault="00C92D91" w:rsidP="00C92D91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2E193E25" wp14:editId="1971EFC7">
                <wp:extent cx="466725" cy="504825"/>
                <wp:effectExtent l="0" t="0" r="952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26A31A69" w14:textId="77777777" w:rsidR="00C92D91" w:rsidRPr="005D4F3C" w:rsidRDefault="00C92D91" w:rsidP="00C92D91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A38FAA5" w14:textId="77777777" w:rsidR="00C92D91" w:rsidRPr="005D4F3C" w:rsidRDefault="00C92D91" w:rsidP="00C92D91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56F4773D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7B8F3D31" w14:textId="77777777" w:rsidR="00C92D91" w:rsidRDefault="00C92D91" w:rsidP="00C92D91">
          <w:pPr>
            <w:pStyle w:val="llb"/>
            <w:jc w:val="left"/>
          </w:pPr>
        </w:p>
      </w:tc>
    </w:tr>
    <w:tr w:rsidR="00C92D91" w14:paraId="16B1626A" w14:textId="77777777" w:rsidTr="00757736">
      <w:trPr>
        <w:trHeight w:val="397"/>
      </w:trPr>
      <w:tc>
        <w:tcPr>
          <w:tcW w:w="1106" w:type="dxa"/>
          <w:vMerge/>
        </w:tcPr>
        <w:p w14:paraId="3CC477E7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5838A3B2" w14:textId="77777777" w:rsidR="00C92D91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0FECC825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09C6FD2D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31EB50A2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marketing.kommunikacio@aok.pte.hu</w:t>
          </w:r>
        </w:p>
      </w:tc>
      <w:tc>
        <w:tcPr>
          <w:tcW w:w="1134" w:type="dxa"/>
          <w:vMerge/>
        </w:tcPr>
        <w:p w14:paraId="2B8133EA" w14:textId="77777777" w:rsidR="00C92D91" w:rsidRDefault="00C92D91" w:rsidP="00C92D91">
          <w:pPr>
            <w:pStyle w:val="llb"/>
          </w:pPr>
        </w:p>
      </w:tc>
    </w:tr>
  </w:tbl>
  <w:p w14:paraId="1566B326" w14:textId="77F3E9E2" w:rsidR="00C92D91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303E8191" wp14:editId="62C3DD6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  <w:gridCol w:w="1134"/>
    </w:tblGrid>
    <w:tr w:rsidR="00FD2673" w14:paraId="321B54FF" w14:textId="32D72DDB" w:rsidTr="005B2D40">
      <w:trPr>
        <w:trHeight w:val="397"/>
      </w:trPr>
      <w:tc>
        <w:tcPr>
          <w:tcW w:w="1106" w:type="dxa"/>
          <w:vMerge w:val="restart"/>
          <w:vAlign w:val="center"/>
        </w:tcPr>
        <w:p w14:paraId="05DB6680" w14:textId="77777777" w:rsidR="00FD2673" w:rsidRPr="005D4F3C" w:rsidRDefault="00FD2673" w:rsidP="002F59F3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39FFB1B6" wp14:editId="21516910">
                <wp:extent cx="466725" cy="504825"/>
                <wp:effectExtent l="0" t="0" r="9525" b="9525"/>
                <wp:docPr id="102" name="Kép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5BF25BB1" w14:textId="0056F5BE" w:rsidR="00FD2673" w:rsidRPr="005D4F3C" w:rsidRDefault="00FD2673" w:rsidP="00FD2673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</w:tc>
      <w:tc>
        <w:tcPr>
          <w:tcW w:w="2693" w:type="dxa"/>
        </w:tcPr>
        <w:p w14:paraId="7BB48B62" w14:textId="77777777" w:rsidR="00FD2673" w:rsidRPr="005D4F3C" w:rsidRDefault="00FD2673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585438FE" w14:textId="6B4A0DCF" w:rsidR="00FD2673" w:rsidRDefault="00FD2673" w:rsidP="002F59F3">
          <w:pPr>
            <w:pStyle w:val="llb"/>
            <w:jc w:val="left"/>
          </w:pPr>
        </w:p>
      </w:tc>
      <w:tc>
        <w:tcPr>
          <w:tcW w:w="1134" w:type="dxa"/>
        </w:tcPr>
        <w:p w14:paraId="04070779" w14:textId="77777777" w:rsidR="00FD2673" w:rsidRDefault="00FD2673" w:rsidP="002F59F3">
          <w:pPr>
            <w:pStyle w:val="llb"/>
            <w:jc w:val="left"/>
          </w:pPr>
        </w:p>
      </w:tc>
    </w:tr>
    <w:tr w:rsidR="00FD2673" w14:paraId="7681C567" w14:textId="1CB6696D" w:rsidTr="005B2D40">
      <w:trPr>
        <w:trHeight w:val="397"/>
      </w:trPr>
      <w:tc>
        <w:tcPr>
          <w:tcW w:w="1106" w:type="dxa"/>
          <w:vMerge/>
        </w:tcPr>
        <w:p w14:paraId="5D98839E" w14:textId="77777777" w:rsidR="00FD2673" w:rsidRPr="005D4F3C" w:rsidRDefault="00FD2673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2CB7B532" w14:textId="77777777" w:rsidR="00FD2673" w:rsidRDefault="00FD2673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35622144" w14:textId="1ECCAA8D" w:rsidR="00FD2673" w:rsidRPr="005D4F3C" w:rsidRDefault="00FD2673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10A2F45D" w14:textId="4D3D3368" w:rsidR="00FD2673" w:rsidRPr="005D4F3C" w:rsidRDefault="00FD2673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56855246" w14:textId="21CE7555" w:rsidR="00FD2673" w:rsidRPr="005D4F3C" w:rsidRDefault="00FD2673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viktor.harta@aok.pte.hu</w:t>
          </w:r>
        </w:p>
      </w:tc>
      <w:tc>
        <w:tcPr>
          <w:tcW w:w="1134" w:type="dxa"/>
          <w:vMerge/>
        </w:tcPr>
        <w:p w14:paraId="53B23400" w14:textId="77777777" w:rsidR="00FD2673" w:rsidRDefault="00FD2673">
          <w:pPr>
            <w:pStyle w:val="llb"/>
          </w:pPr>
        </w:p>
      </w:tc>
      <w:tc>
        <w:tcPr>
          <w:tcW w:w="1134" w:type="dxa"/>
        </w:tcPr>
        <w:p w14:paraId="1CF7447B" w14:textId="77777777" w:rsidR="00FD2673" w:rsidRDefault="00FD2673">
          <w:pPr>
            <w:pStyle w:val="llb"/>
          </w:pPr>
        </w:p>
      </w:tc>
    </w:tr>
  </w:tbl>
  <w:p w14:paraId="6B7F05B7" w14:textId="0E4CAE79" w:rsidR="00780B10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26A2903" wp14:editId="20CC9205">
          <wp:simplePos x="0" y="0"/>
          <wp:positionH relativeFrom="page">
            <wp:posOffset>504190</wp:posOffset>
          </wp:positionH>
          <wp:positionV relativeFrom="page">
            <wp:posOffset>10193655</wp:posOffset>
          </wp:positionV>
          <wp:extent cx="7020000" cy="2066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B10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85279D8" wp14:editId="3406571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104" name="Kép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EC268" w14:textId="77777777" w:rsidR="00C263D1" w:rsidRDefault="00C263D1" w:rsidP="00A2314E">
      <w:pPr>
        <w:spacing w:after="0" w:line="240" w:lineRule="auto"/>
      </w:pPr>
      <w:r>
        <w:separator/>
      </w:r>
    </w:p>
  </w:footnote>
  <w:footnote w:type="continuationSeparator" w:id="0">
    <w:p w14:paraId="4703F879" w14:textId="77777777" w:rsidR="00C263D1" w:rsidRDefault="00C263D1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043760">
    <w:abstractNumId w:val="3"/>
  </w:num>
  <w:num w:numId="2" w16cid:durableId="994452797">
    <w:abstractNumId w:val="1"/>
  </w:num>
  <w:num w:numId="3" w16cid:durableId="144661298">
    <w:abstractNumId w:val="2"/>
  </w:num>
  <w:num w:numId="4" w16cid:durableId="213806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10AA"/>
    <w:rsid w:val="00004F8A"/>
    <w:rsid w:val="00010D0F"/>
    <w:rsid w:val="000244DF"/>
    <w:rsid w:val="000C202D"/>
    <w:rsid w:val="000E132E"/>
    <w:rsid w:val="000E3C46"/>
    <w:rsid w:val="002546D3"/>
    <w:rsid w:val="002B246F"/>
    <w:rsid w:val="002F59F3"/>
    <w:rsid w:val="00305B3A"/>
    <w:rsid w:val="00417AC1"/>
    <w:rsid w:val="00591C71"/>
    <w:rsid w:val="005D4F3C"/>
    <w:rsid w:val="00610165"/>
    <w:rsid w:val="0070644A"/>
    <w:rsid w:val="00780B10"/>
    <w:rsid w:val="0094590F"/>
    <w:rsid w:val="00973FC9"/>
    <w:rsid w:val="00A2314E"/>
    <w:rsid w:val="00A852B9"/>
    <w:rsid w:val="00B13850"/>
    <w:rsid w:val="00B25ACD"/>
    <w:rsid w:val="00C263D1"/>
    <w:rsid w:val="00C92D91"/>
    <w:rsid w:val="00CE4373"/>
    <w:rsid w:val="00DF485D"/>
    <w:rsid w:val="00E16B0D"/>
    <w:rsid w:val="00FD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FD267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D2673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61016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367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Feketéné Schweier Rita Zsuzsanna</cp:lastModifiedBy>
  <cp:revision>2</cp:revision>
  <cp:lastPrinted>2021-06-10T12:02:00Z</cp:lastPrinted>
  <dcterms:created xsi:type="dcterms:W3CDTF">2023-07-11T11:30:00Z</dcterms:created>
  <dcterms:modified xsi:type="dcterms:W3CDTF">2023-07-11T11:30:00Z</dcterms:modified>
</cp:coreProperties>
</file>