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D2CF" w14:textId="77777777" w:rsidR="00A2062E" w:rsidRDefault="3199327A" w:rsidP="00A2062E">
      <w:pPr>
        <w:pStyle w:val="Cm"/>
        <w:jc w:val="center"/>
      </w:pPr>
      <w:r w:rsidRPr="00A2062E">
        <w:t xml:space="preserve">MTA Arany Életpálya díjat </w:t>
      </w:r>
      <w:r w:rsidR="00A2062E" w:rsidRPr="00A2062E">
        <w:t>k</w:t>
      </w:r>
      <w:r w:rsidRPr="00A2062E">
        <w:t xml:space="preserve">apott </w:t>
      </w:r>
    </w:p>
    <w:p w14:paraId="3D5D35AC" w14:textId="6F4E206C" w:rsidR="00CE0920" w:rsidRPr="00A2062E" w:rsidRDefault="3199327A" w:rsidP="00A2062E">
      <w:pPr>
        <w:pStyle w:val="Cm"/>
        <w:jc w:val="center"/>
      </w:pPr>
      <w:r w:rsidRPr="00A2062E">
        <w:t>Törőcsik M</w:t>
      </w:r>
      <w:r w:rsidR="2E7FB243" w:rsidRPr="00A2062E">
        <w:t>á</w:t>
      </w:r>
      <w:r w:rsidRPr="00A2062E">
        <w:t>ria</w:t>
      </w:r>
    </w:p>
    <w:p w14:paraId="623293A6" w14:textId="41CF552A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E04932" w14:textId="77456763" w:rsidR="00CE0920" w:rsidRPr="00A2062E" w:rsidRDefault="00CE0920" w:rsidP="00A2062E">
      <w:pPr>
        <w:jc w:val="both"/>
        <w:rPr>
          <w:rFonts w:ascii="Bookman Old Style" w:eastAsia="Bookman Old Style" w:hAnsi="Bookman Old Style" w:cs="Bookman Old Style"/>
        </w:rPr>
      </w:pPr>
    </w:p>
    <w:p w14:paraId="4FB4BD5E" w14:textId="785BE19B" w:rsidR="00CE0920" w:rsidRPr="00A2062E" w:rsidRDefault="5070D1E8" w:rsidP="00A2062E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 Magyar Tudományos Akadémia Arany életpálya</w:t>
      </w:r>
      <w:r w:rsidR="005A72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5A72A0" w:rsidRPr="005A72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Cursus</w:t>
      </w:r>
      <w:proofErr w:type="spellEnd"/>
      <w:r w:rsidR="005A72A0" w:rsidRPr="005A72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Vitae </w:t>
      </w:r>
      <w:proofErr w:type="spellStart"/>
      <w:r w:rsidR="005A72A0" w:rsidRPr="005A72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Aureus</w:t>
      </w:r>
      <w:proofErr w:type="spellEnd"/>
      <w:r w:rsidRPr="00A20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díjjal tüntette ki Dr. Törőcsik Máriát, a Pécsi Tudományegyetem professor</w:t>
      </w:r>
      <w:r w:rsidR="70A86647" w:rsidRPr="00A20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70A86647" w:rsidRPr="00A20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emeritáját</w:t>
      </w:r>
      <w:proofErr w:type="spellEnd"/>
      <w:r w:rsidR="3B19445B" w:rsidRPr="00A20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 Dr. Törőcsik Mária</w:t>
      </w:r>
      <w:r w:rsidRPr="00A20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 hazai marketingszakma és felsőoktatás kiemelkedő képviselője, a fogyasztói magatartás területén végzett kutatói munkásságát tucatnyi ismert és keresett szakkönyv fémjelzi. Oktatási és kutatási tevékenysége mellett elévülhetetlen érdemei vannak a tehetséggondozásban, az interdiszciplináris közelítések kimunkálásában és képviseletében.</w:t>
      </w:r>
    </w:p>
    <w:p w14:paraId="4EE67A1E" w14:textId="5C04B5C7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501DD0" w14:textId="504BBBB3" w:rsidR="00CE0920" w:rsidRPr="00A2062E" w:rsidRDefault="26307F78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Törőcsik Mária 197</w:t>
      </w:r>
      <w:r w:rsidR="00F14D55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óta </w:t>
      </w:r>
      <w:r w:rsidR="678B9A4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tagja a Pécsi Tudományegyetem oktatói gárdájának, ahol </w:t>
      </w:r>
      <w:proofErr w:type="spellStart"/>
      <w:r w:rsidR="712C9869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végigjárva</w:t>
      </w:r>
      <w:proofErr w:type="spellEnd"/>
      <w:r w:rsidR="712C9869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tudományos ranglétrát a legmagasabb szintekig jutott, 1998-tól egyetemi tanárként </w:t>
      </w:r>
      <w:r w:rsidR="573DD0F8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végzi munkáját</w:t>
      </w:r>
      <w:r w:rsidR="1155F3AF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F14D55">
        <w:rPr>
          <w:rFonts w:ascii="Calibri" w:eastAsia="Calibri" w:hAnsi="Calibri" w:cs="Calibri"/>
          <w:color w:val="000000" w:themeColor="text1"/>
          <w:sz w:val="24"/>
          <w:szCs w:val="24"/>
        </w:rPr>
        <w:t>É</w:t>
      </w:r>
      <w:r w:rsidR="0DA592E8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letműve az oktatás, az akadémiai munka és a tehetséggondozás területén is példaértékű a fiatal egyetemi kollégák számára, de munkája messze túlmutat az egyetem falain</w:t>
      </w:r>
      <w:r w:rsidR="69CBD6DB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túlra</w:t>
      </w:r>
      <w:r w:rsidR="0DA592E8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, hiszen a gyakorlati marketingszakm</w:t>
      </w:r>
      <w:r w:rsidR="6D91317F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a segítése is mindig fontos fókuszpont volt a számára.</w:t>
      </w:r>
    </w:p>
    <w:p w14:paraId="0B289D58" w14:textId="0B8561E4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CD387A" w14:textId="6234CB28" w:rsidR="00CE0920" w:rsidRPr="00A2062E" w:rsidRDefault="6715A13E" w:rsidP="00A2062E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“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Ez a díj</w:t>
      </w:r>
      <w:r w:rsidR="779CB55D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-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62E5A852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és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néhány másik, ami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</w:t>
      </w:r>
      <w:r w:rsidR="7FE0A03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ebben az időszakban kaptam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551CC4D4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-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szépen keretezi a pályámat, mert azok</w:t>
      </w:r>
      <w:r w:rsidR="3DD682B4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ról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 fontos területek</w:t>
      </w:r>
      <w:r w:rsidR="691CE44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ről érkez</w:t>
      </w:r>
      <w:r w:rsidR="31AF3DF2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tek az elismerések, 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amiket eddig műveltem. Szeptemberben kaptam meg a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Magyar M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arketing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zövetség díját</w:t>
      </w:r>
      <w:r w:rsidR="45F21ACF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ami</w:t>
      </w:r>
      <w:r w:rsidR="3448533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re azért vagyok büszke, mert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63737991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ez 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 gyakorló marketingesek elismerése</w:t>
      </w:r>
      <w:r w:rsidR="1FDF2AE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és azért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 tevékenység</w:t>
      </w:r>
      <w:r w:rsidR="2194415D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em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ért</w:t>
      </w:r>
      <w:r w:rsidR="1E454FA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ítélték nekem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ami híd volt az akadémiai élet és a gyakorlatban dolgozók között.</w:t>
      </w:r>
      <w:r w:rsidR="0446B44F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</w:t>
      </w:r>
      <w:r w:rsidR="44B4AE4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mostani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Akadémia díja azért értékes, mert </w:t>
      </w:r>
      <w:r w:rsidR="00F14D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ehhez 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 kollégák szavazatai alapján lehet hozzájutni, tehát nem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csak a 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mérőszámok alapján </w:t>
      </w:r>
      <w:r w:rsidR="5AD3AF54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dőlt el.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164C65E1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Néhány nap múlva á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tvehettem még a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estertanár arany oklevelet is, ami a tehetséggondozásért végzett munkám elismerése.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”</w:t>
      </w:r>
      <w:r w:rsidR="0D2F99E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45AF9253" w14:textId="18983189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8CBD75" w14:textId="1E629F64" w:rsidR="00CE0920" w:rsidRPr="00A2062E" w:rsidRDefault="54708005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Professzor asszony egyetemi évei alatt aktív részese és alakítója a Marketing és Turizmus Intézet és jogelőd szervezeti egységek oktatásszervezési tevékenységének. 2015-ben kapott felkérést a frissen alakult Marketing és Turizmus Intézet vezetésére, az újonnan indított turizmus képzések pozicionálására, piaci bevezetésére, amelyet sikerrel meg is valósított a rendelkezésére álló négyéves ciklus alatt. Egyetemi munkássága túlmutatott </w:t>
      </w:r>
      <w:r w:rsidR="00F14D55">
        <w:rPr>
          <w:rFonts w:ascii="Calibri" w:eastAsia="Calibri" w:hAnsi="Calibri" w:cs="Calibri"/>
          <w:color w:val="000000" w:themeColor="text1"/>
          <w:sz w:val="24"/>
          <w:szCs w:val="24"/>
        </w:rPr>
        <w:t>a KTK-n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: 2000 és 2002 között a Pécsi Tudományegyetem Marketing rektorhelyettese volt.</w:t>
      </w:r>
    </w:p>
    <w:p w14:paraId="1B8D25C8" w14:textId="6DC4F309" w:rsidR="00CE0920" w:rsidRPr="00A2062E" w:rsidRDefault="0C4AD82E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Színes egyénisége és széleslát</w:t>
      </w:r>
      <w:r w:rsidR="3F23C47D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ó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körű, interdiszciplináris </w:t>
      </w:r>
      <w:r w:rsidR="5373943D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kutatói 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gondolkodása, elhivatottsága az oktatói </w:t>
      </w:r>
      <w:r w:rsidR="0251AE4E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és tehetséggondozói munka iránt </w:t>
      </w:r>
      <w:r w:rsidR="7A8F6A91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és folyamatos kapcsolata a gyakorló marketingszakmával egészen egyedi szakmai életutat hozott létre. </w:t>
      </w:r>
    </w:p>
    <w:p w14:paraId="1EFF3916" w14:textId="4FBEA562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B03740" w14:textId="11442D6F" w:rsidR="00CE0920" w:rsidRPr="00A2062E" w:rsidRDefault="35FFC81E" w:rsidP="00A2062E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“</w:t>
      </w:r>
      <w:r w:rsidR="36F9F348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Azt gondolom, hogy a gyakorlati munka és az elméleti lehetőségeket továbbítani tudó képesség, az akadémiai</w:t>
      </w:r>
      <w:r w:rsidR="405D601E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tevékenység</w:t>
      </w:r>
      <w:r w:rsidR="36F9F348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, illetve a hallgatókkal végzett munka együtt kiad egy kerek egészet. </w:t>
      </w:r>
    </w:p>
    <w:p w14:paraId="288ED1C2" w14:textId="0ACA2FF9" w:rsidR="00CE0920" w:rsidRPr="00A2062E" w:rsidRDefault="1A50948B" w:rsidP="00A2062E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Ez </w:t>
      </w:r>
      <w:r w:rsidR="00F14D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azért 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nem teljesen szokványos az akadémiai szinten is dolgozók között.</w:t>
      </w:r>
      <w:r w:rsidR="3357CB9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Sokan megkérdezik, hogy hogy lehet ennyi időt egy munkahelyen eltölteni</w:t>
      </w:r>
      <w:r w:rsidR="424FF322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- hiszen a diplomaszerzésem óta dolgoz</w:t>
      </w:r>
      <w:r w:rsidR="0C1A43C8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</w:t>
      </w:r>
      <w:r w:rsidR="424FF322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 Közgazdaságtudományi Karon.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818D2D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ontosan így, mert a hallgatók folyamatosan cserélődnek, új emberek, új gondolatokkal, új gondokkal jönnek,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és 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ha </w:t>
      </w:r>
      <w:r w:rsidR="00F14D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az ember 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 gyakorlat</w:t>
      </w:r>
      <w:r w:rsidR="661D69C1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 területen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dolgozik,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akkor 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ott is új cégek</w:t>
      </w:r>
      <w:r w:rsidR="45832A8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kel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új problémá</w:t>
      </w:r>
      <w:r w:rsidR="0C499639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k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k</w:t>
      </w:r>
      <w:r w:rsidR="0C499639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al</w:t>
      </w:r>
      <w:r w:rsidR="5D531382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lehet találkozni</w:t>
      </w:r>
      <w:r w:rsidR="5D531382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</w:t>
      </w:r>
      <w:r w:rsidR="1EE3B4B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z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akadémiai létben pedig mindig adódnak új kutatási kérdések, amik </w:t>
      </w:r>
      <w:r w:rsidR="00F14D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izgalmasok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. Ettől olyan, mintha mindig más közegben lenne az ember és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ezt 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nem </w:t>
      </w:r>
      <w:r w:rsidR="00F14D5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lehet</w:t>
      </w:r>
      <w:r w:rsidR="00F14D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megunni.</w:t>
      </w:r>
      <w:r w:rsidR="6630B7E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”</w:t>
      </w:r>
    </w:p>
    <w:p w14:paraId="52152A6F" w14:textId="099F2B8B" w:rsidR="00CE0920" w:rsidRPr="00A2062E" w:rsidRDefault="6630B7EA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Oktatói, tehetséggondozói tevékenysége teljes egészében a PTE Közgazdaságtudományi Karához kötődik</w:t>
      </w:r>
      <w:r w:rsidR="21253C55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21253C55" w:rsidRPr="00A2062E">
        <w:rPr>
          <w:rFonts w:ascii="Bookman Old Style" w:eastAsia="Bookman Old Style" w:hAnsi="Bookman Old Style" w:cs="Bookman Old Style"/>
        </w:rPr>
        <w:t>E</w:t>
      </w:r>
      <w:r w:rsidR="21253C55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lőadásainak, témafelvetéseinek népszerűségét jól mutatja a TDK-mozgalomban részt vett és az OTDK versenyeken helyezéseket elért hallgatók kiemelkedően magas száma. Iskolateremtő munkája a fogyasztói magatartás területén teljesedett ki, amelybe 21 doktorandusz hallgató csatlakozott be, akik közül eddig </w:t>
      </w:r>
      <w:r w:rsidR="40914C9A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F14D55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="40914C9A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-en</w:t>
      </w:r>
      <w:r w:rsidR="21253C55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fokozatot is szereztek. Több doktori iskola programjában is közreműködik, de törzstagként a Pécsi Tudományegyetem Gazdálkodástani Doktori Iskoláját támogatja.</w:t>
      </w:r>
    </w:p>
    <w:p w14:paraId="56C5FEE9" w14:textId="5883CE09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5BA960" w14:textId="762A8E07" w:rsidR="00CE0920" w:rsidRPr="00A2062E" w:rsidRDefault="2AB1E06D" w:rsidP="00A2062E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21253C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 tehetséggondozás nemcsak az egyetemi hallgatók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esetében</w:t>
      </w:r>
      <w:r w:rsidR="00EF274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21253C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fontos, de a PhD hallgatók szempontjából is. Meglehetősen sokan vannak, akiket segítettem a fokozat elnyerésében és </w:t>
      </w:r>
      <w:r w:rsidR="11B0130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most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is </w:t>
      </w:r>
      <w:r w:rsidR="21253C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vannak </w:t>
      </w:r>
      <w:r w:rsidR="0F8A4007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PhD </w:t>
      </w:r>
      <w:r w:rsidR="21253C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hallgatóim, szóval azt gondolom, </w:t>
      </w:r>
      <w:r w:rsidR="3CCF2A27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érdekli a fiatalokat az én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kutatási</w:t>
      </w:r>
      <w:r w:rsidR="00EF274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3CCF2A27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területem</w:t>
      </w:r>
      <w:r w:rsidR="21253C5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. </w:t>
      </w:r>
      <w:r w:rsidR="4AEF95BD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K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íváncsi ember vagyok. Érdekel, hogy az újabb és újabb csoportok, generációk, milyen témával foglalkoznak</w:t>
      </w:r>
      <w:r w:rsidR="78328E7C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és m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 az, amivel fel lehet kelteni a figyelmüket annyira, hogy egy tudományos dolgozatra is vállalkoznak.</w:t>
      </w:r>
      <w:r w:rsidR="2E90A6AD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”</w:t>
      </w:r>
    </w:p>
    <w:p w14:paraId="5D958255" w14:textId="29675EB7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C38363" w14:textId="78F465A5" w:rsidR="00CE0920" w:rsidRPr="00A2062E" w:rsidRDefault="7EE342B4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Professzor Asszony gondolkodásának középpontjában a f</w:t>
      </w:r>
      <w:r w:rsidR="294F0D8A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gyasztás és a fogyas</w:t>
      </w:r>
      <w:r w:rsidR="6DC865B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tói magat</w:t>
      </w:r>
      <w:r w:rsidR="214006CC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rtás áll.</w:t>
      </w:r>
      <w:r w:rsidR="41BF092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99B1F81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Szemléletmódjának jellemzője a fogyasztókkal szembeni empatikus közelítésmód és az </w:t>
      </w:r>
      <w:proofErr w:type="spellStart"/>
      <w:r w:rsidR="799B1F81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interdiszciplinaritás</w:t>
      </w:r>
      <w:proofErr w:type="spellEnd"/>
      <w:r w:rsidR="799B1F81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41BF092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Hazánkban elsőként adaptálta az életstílus-vizsgálatok nemzetközi standardjait, ezekre építve pedig a későbbiekben saját keretrendszert is kidolgozott</w:t>
      </w:r>
      <w:r w:rsidR="00EF2740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41BF092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beépítve a modellbe az aktuális fogyasztói magatartástrendeket is. A marketing területén elméleti és gyakorlati tudásra, tapasztalatokra is szert tett, számos alap- és alkalmazott kutatás fűződik a nevéhez. Az elmúlt évtizedben meghatározó területként jelent meg kutatásaiban a generációk magatartásának vizsgálata, az eltérések feltárására, a különbségek megértésére koncentrálva. Publikációs munkássága széles hat</w:t>
      </w:r>
      <w:r w:rsidR="00EF2740">
        <w:rPr>
          <w:rFonts w:ascii="Calibri" w:eastAsia="Calibri" w:hAnsi="Calibri" w:cs="Calibri"/>
          <w:color w:val="000000" w:themeColor="text1"/>
          <w:sz w:val="24"/>
          <w:szCs w:val="24"/>
        </w:rPr>
        <w:t>ó</w:t>
      </w:r>
      <w:r w:rsidR="41BF092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körű: összesen több mint </w:t>
      </w:r>
      <w:r w:rsidR="00EF2740">
        <w:rPr>
          <w:rFonts w:ascii="Calibri" w:eastAsia="Calibri" w:hAnsi="Calibri" w:cs="Calibri"/>
          <w:color w:val="000000" w:themeColor="text1"/>
          <w:sz w:val="24"/>
          <w:szCs w:val="24"/>
        </w:rPr>
        <w:t>400</w:t>
      </w:r>
      <w:r w:rsidR="00EF2740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1BF092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közlemény szerzője, amikhez </w:t>
      </w:r>
      <w:r w:rsidR="00EF2740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EF2740">
        <w:rPr>
          <w:rFonts w:ascii="Calibri" w:eastAsia="Calibri" w:hAnsi="Calibri" w:cs="Calibri"/>
          <w:color w:val="000000" w:themeColor="text1"/>
          <w:sz w:val="24"/>
          <w:szCs w:val="24"/>
        </w:rPr>
        <w:t>890</w:t>
      </w:r>
      <w:r w:rsidR="00EF2740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1BF0926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független hivatkozás tartozik.</w:t>
      </w: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EE61849" w14:textId="739D949C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6B789C" w14:textId="16AB458C" w:rsidR="00CE0920" w:rsidRPr="00A2062E" w:rsidRDefault="44130651" w:rsidP="00A2062E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“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 fogyasztó, mint ember érdekes téma. Az emberek életének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ugyan </w:t>
      </w:r>
      <w:r w:rsidR="00EF274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csak 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egy része a fogyasztás, de fontos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 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szerep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. Ennek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 témának 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nincs vége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mindig adódnak új jellemzők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. </w:t>
      </w:r>
      <w:r w:rsidR="3589CF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lastRenderedPageBreak/>
        <w:t>Nem tudom, mennyire lehetek példakép, de nyilván érdekes, hogy ennyi ideig tudtam ezzel foglalkozni</w:t>
      </w:r>
      <w:r w:rsidR="2EAD3FA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és 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eléggé elmélyültem</w:t>
      </w:r>
      <w:r w:rsidR="17FFFE2F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benne. Most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ennek</w:t>
      </w:r>
      <w:r w:rsidR="0F00E629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 magatartásnak az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5E59FD54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ellenté</w:t>
      </w:r>
      <w:r w:rsidR="6728188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</w:t>
      </w:r>
      <w:r w:rsidR="5E59FD54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</w:t>
      </w:r>
      <w:proofErr w:type="spellEnd"/>
      <w:r w:rsidR="692148AF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 nem-fogyasztás és a nem-fogyasztói magatartás érdekel</w:t>
      </w:r>
      <w:r w:rsidR="580F661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-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580F661A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zon belül is a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fogyasztásról való önkéntes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lemondás. </w:t>
      </w:r>
      <w:r w:rsidR="089A4FC5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Napjainkban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fontos</w:t>
      </w:r>
      <w:r w:rsidR="00EF274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téma a fenntarthatóság,</w:t>
      </w:r>
      <w:r w:rsidR="3E256BB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és ezzel kapcso</w:t>
      </w:r>
      <w:r w:rsidR="21073116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</w:t>
      </w:r>
      <w:r w:rsidR="3E256BB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atban az a kérdés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is</w:t>
      </w:r>
      <w:r w:rsidR="3E256BB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hogy képesek vagyunk-e lemondani, ha igen, miről és ennek mi a következménye. </w:t>
      </w:r>
      <w:r w:rsidR="0E85EF04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Minde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z nemcsak kutatói szinten érdekes, de a cégek is szembesülnek ezzel a problémával, ami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nek megértésében, megoldásában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az ilyen témájú kutatások segíthetnek.</w:t>
      </w:r>
      <w:r w:rsidR="51826893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”</w:t>
      </w:r>
    </w:p>
    <w:p w14:paraId="5458EA63" w14:textId="4316E1AE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BD81D4" w14:textId="59FC25C1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835981" w14:textId="151678C6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DA6479" w14:textId="1B5008F2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A37924" w14:textId="52A6360F" w:rsidR="00CE0920" w:rsidRPr="00A2062E" w:rsidRDefault="53123694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Sokoldalú személyisége, szerteágazó érdeklődése és tudományterületeken átívelő akadémiai és tudományszervezői tevékenysége számos üzenetet hordoz az utána következő generációk </w:t>
      </w:r>
      <w:r w:rsidR="4EE4D409" w:rsidRPr="00A2062E">
        <w:rPr>
          <w:rFonts w:ascii="Calibri" w:eastAsia="Calibri" w:hAnsi="Calibri" w:cs="Calibri"/>
          <w:color w:val="000000" w:themeColor="text1"/>
          <w:sz w:val="24"/>
          <w:szCs w:val="24"/>
        </w:rPr>
        <w:t>számára. Bizalommal és érdeklődéssel tekint a jövendő kutató-oktató generáció felé - akik közül sokakkal aktív szakmai kapcsolata van.</w:t>
      </w:r>
    </w:p>
    <w:p w14:paraId="43A05EE1" w14:textId="156ACD06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F2C3B8" w14:textId="331C2F1A" w:rsidR="00CE0920" w:rsidRPr="00A2062E" w:rsidRDefault="4EE4D409" w:rsidP="00A2062E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“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Azt gondolom, hogy alapvetően a kitartás és a munka a kulcs. Vannak tehetséges emberek, vannak jó gondolattal, jó összefüggést látó képességgel megáldott emberek és mégsem tudják </w:t>
      </w:r>
      <w:r w:rsidR="00852D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sikerre 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vinni a pályájukat, 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ha nem képesek arra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, hogy </w:t>
      </w:r>
      <w:r w:rsidR="00EF2740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szorgalmas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ok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kitartó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ak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legyen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ek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hogy a buktatókon túl tudj</w:t>
      </w:r>
      <w:r w:rsidR="00EF274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anak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lendülni és </w:t>
      </w:r>
      <w:r w:rsidR="00852D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állandó legyen a 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kíváncsiság</w:t>
      </w:r>
      <w:r w:rsidR="00852D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uk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 Érdekelje az, amivel foglalkozik</w:t>
      </w:r>
      <w:r w:rsidR="00852D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legyen a szenvedélye</w:t>
      </w:r>
      <w:r w:rsidR="1A50948B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 Ha ez megvan, akkor végig tud vinni egy pályát.</w:t>
      </w:r>
      <w:r w:rsidR="01BDC059" w:rsidRPr="00A2062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”</w:t>
      </w:r>
    </w:p>
    <w:p w14:paraId="01E076B1" w14:textId="4D296AD4" w:rsidR="00CE0920" w:rsidRPr="00A2062E" w:rsidRDefault="00CE0920" w:rsidP="00A2062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B63463" w14:textId="4C328F67" w:rsidR="00CE0920" w:rsidRPr="00A2062E" w:rsidRDefault="00CE0920" w:rsidP="00A2062E">
      <w:pPr>
        <w:jc w:val="both"/>
        <w:rPr>
          <w:sz w:val="24"/>
          <w:szCs w:val="24"/>
        </w:rPr>
      </w:pPr>
    </w:p>
    <w:sectPr w:rsidR="00CE0920" w:rsidRPr="00A2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03AD12"/>
    <w:rsid w:val="005A72A0"/>
    <w:rsid w:val="00743E4C"/>
    <w:rsid w:val="00852DA1"/>
    <w:rsid w:val="00A067C2"/>
    <w:rsid w:val="00A2062E"/>
    <w:rsid w:val="00CE0920"/>
    <w:rsid w:val="00EF2740"/>
    <w:rsid w:val="00F14D55"/>
    <w:rsid w:val="013901B5"/>
    <w:rsid w:val="01BDC059"/>
    <w:rsid w:val="0251AE4E"/>
    <w:rsid w:val="02DE2AE0"/>
    <w:rsid w:val="0446B44F"/>
    <w:rsid w:val="04822535"/>
    <w:rsid w:val="0493600C"/>
    <w:rsid w:val="0818D2D0"/>
    <w:rsid w:val="085AEE8C"/>
    <w:rsid w:val="089A4FC5"/>
    <w:rsid w:val="08A55EF6"/>
    <w:rsid w:val="0A2806FA"/>
    <w:rsid w:val="0B118E5F"/>
    <w:rsid w:val="0BDCFFB8"/>
    <w:rsid w:val="0C1A43C8"/>
    <w:rsid w:val="0C499639"/>
    <w:rsid w:val="0C4AD82E"/>
    <w:rsid w:val="0D2F99E0"/>
    <w:rsid w:val="0D78D019"/>
    <w:rsid w:val="0DA592E8"/>
    <w:rsid w:val="0E010CBF"/>
    <w:rsid w:val="0E422FD8"/>
    <w:rsid w:val="0E85EF04"/>
    <w:rsid w:val="0F00E629"/>
    <w:rsid w:val="0F14A07A"/>
    <w:rsid w:val="0F8A4007"/>
    <w:rsid w:val="0FDE0039"/>
    <w:rsid w:val="1155F3AF"/>
    <w:rsid w:val="11B0130A"/>
    <w:rsid w:val="14905B6E"/>
    <w:rsid w:val="164C65E1"/>
    <w:rsid w:val="164D41BD"/>
    <w:rsid w:val="16568F0E"/>
    <w:rsid w:val="170EB3F6"/>
    <w:rsid w:val="17E12498"/>
    <w:rsid w:val="17FFFE2F"/>
    <w:rsid w:val="18AA8457"/>
    <w:rsid w:val="1A50948B"/>
    <w:rsid w:val="1BC8C04E"/>
    <w:rsid w:val="1CB495BB"/>
    <w:rsid w:val="1DF17D82"/>
    <w:rsid w:val="1E454FA5"/>
    <w:rsid w:val="1E4718CB"/>
    <w:rsid w:val="1EE3B4B3"/>
    <w:rsid w:val="1FDF2AEA"/>
    <w:rsid w:val="20830914"/>
    <w:rsid w:val="20B5963C"/>
    <w:rsid w:val="21073116"/>
    <w:rsid w:val="21253C55"/>
    <w:rsid w:val="214006CC"/>
    <w:rsid w:val="2194415D"/>
    <w:rsid w:val="22CED469"/>
    <w:rsid w:val="23ED36FE"/>
    <w:rsid w:val="24CD2809"/>
    <w:rsid w:val="2590F4E5"/>
    <w:rsid w:val="26307F78"/>
    <w:rsid w:val="272CC546"/>
    <w:rsid w:val="287EF527"/>
    <w:rsid w:val="294F0D8A"/>
    <w:rsid w:val="2A5C7882"/>
    <w:rsid w:val="2AB1E06D"/>
    <w:rsid w:val="2B36D6AA"/>
    <w:rsid w:val="2CE3E1E2"/>
    <w:rsid w:val="2E7FB243"/>
    <w:rsid w:val="2E90A6AD"/>
    <w:rsid w:val="2EAD3FAA"/>
    <w:rsid w:val="2ED75271"/>
    <w:rsid w:val="2F37D72B"/>
    <w:rsid w:val="2FC34481"/>
    <w:rsid w:val="3199327A"/>
    <w:rsid w:val="31AF3DF2"/>
    <w:rsid w:val="3341E88F"/>
    <w:rsid w:val="3357CB9B"/>
    <w:rsid w:val="3403AD12"/>
    <w:rsid w:val="3448533A"/>
    <w:rsid w:val="3589CF16"/>
    <w:rsid w:val="359F2B29"/>
    <w:rsid w:val="35FFC81E"/>
    <w:rsid w:val="36F9F348"/>
    <w:rsid w:val="373AFB8A"/>
    <w:rsid w:val="39B12A13"/>
    <w:rsid w:val="3A7A89D2"/>
    <w:rsid w:val="3B19445B"/>
    <w:rsid w:val="3C0E6CAD"/>
    <w:rsid w:val="3CCF2A27"/>
    <w:rsid w:val="3DD682B4"/>
    <w:rsid w:val="3E256BB3"/>
    <w:rsid w:val="3F23C47D"/>
    <w:rsid w:val="405D601E"/>
    <w:rsid w:val="40914C9A"/>
    <w:rsid w:val="40FB062D"/>
    <w:rsid w:val="41BF0926"/>
    <w:rsid w:val="424FF322"/>
    <w:rsid w:val="44130651"/>
    <w:rsid w:val="44216C18"/>
    <w:rsid w:val="44B4AE43"/>
    <w:rsid w:val="45832A83"/>
    <w:rsid w:val="45F21ACF"/>
    <w:rsid w:val="49CF77D1"/>
    <w:rsid w:val="4A7F72C5"/>
    <w:rsid w:val="4AEF95BD"/>
    <w:rsid w:val="4B105BA7"/>
    <w:rsid w:val="4B38BB0A"/>
    <w:rsid w:val="4D071893"/>
    <w:rsid w:val="4DD98935"/>
    <w:rsid w:val="4EE4D409"/>
    <w:rsid w:val="4F080593"/>
    <w:rsid w:val="4FCAC50E"/>
    <w:rsid w:val="5070D1E8"/>
    <w:rsid w:val="51826893"/>
    <w:rsid w:val="53123694"/>
    <w:rsid w:val="5373943D"/>
    <w:rsid w:val="54708005"/>
    <w:rsid w:val="551CC4D4"/>
    <w:rsid w:val="56ADFAD9"/>
    <w:rsid w:val="573DD0F8"/>
    <w:rsid w:val="57806B7B"/>
    <w:rsid w:val="580F661A"/>
    <w:rsid w:val="58F1D8A8"/>
    <w:rsid w:val="591C3BDC"/>
    <w:rsid w:val="5AD3AF54"/>
    <w:rsid w:val="5D531382"/>
    <w:rsid w:val="5E59FD54"/>
    <w:rsid w:val="5EB90CBE"/>
    <w:rsid w:val="5F725503"/>
    <w:rsid w:val="5F89D84A"/>
    <w:rsid w:val="610E2564"/>
    <w:rsid w:val="62E5A852"/>
    <w:rsid w:val="63737991"/>
    <w:rsid w:val="661D69C1"/>
    <w:rsid w:val="6630B7EA"/>
    <w:rsid w:val="6715A13E"/>
    <w:rsid w:val="6728188A"/>
    <w:rsid w:val="675AF13A"/>
    <w:rsid w:val="677D66E8"/>
    <w:rsid w:val="678B9A46"/>
    <w:rsid w:val="691CE443"/>
    <w:rsid w:val="692124CF"/>
    <w:rsid w:val="692148AF"/>
    <w:rsid w:val="69CBD6DB"/>
    <w:rsid w:val="6D91317F"/>
    <w:rsid w:val="6DC865B6"/>
    <w:rsid w:val="70A86647"/>
    <w:rsid w:val="712C9869"/>
    <w:rsid w:val="72AEDEB8"/>
    <w:rsid w:val="73A2A1AB"/>
    <w:rsid w:val="75EE6D00"/>
    <w:rsid w:val="76DA426D"/>
    <w:rsid w:val="779CB55D"/>
    <w:rsid w:val="78328E7C"/>
    <w:rsid w:val="787612CE"/>
    <w:rsid w:val="799B1F81"/>
    <w:rsid w:val="7A00A858"/>
    <w:rsid w:val="7A8F6A91"/>
    <w:rsid w:val="7ADB42EE"/>
    <w:rsid w:val="7B6ED3DE"/>
    <w:rsid w:val="7D62AC4E"/>
    <w:rsid w:val="7D97BC22"/>
    <w:rsid w:val="7EE342B4"/>
    <w:rsid w:val="7F7C26E9"/>
    <w:rsid w:val="7FE0A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AD12"/>
  <w15:chartTrackingRefBased/>
  <w15:docId w15:val="{8CB55252-4F37-455E-A652-1774EB52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ltozat">
    <w:name w:val="Revision"/>
    <w:hidden/>
    <w:uiPriority w:val="99"/>
    <w:semiHidden/>
    <w:rsid w:val="00F14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Harka Éva</cp:lastModifiedBy>
  <cp:revision>2</cp:revision>
  <dcterms:created xsi:type="dcterms:W3CDTF">2024-01-03T08:16:00Z</dcterms:created>
  <dcterms:modified xsi:type="dcterms:W3CDTF">2024-01-03T08:16:00Z</dcterms:modified>
</cp:coreProperties>
</file>